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45597C07">
      <w:pPr>
        <w:pStyle w:val="style94"/>
        <w:keepNext w:val="false"/>
        <w:keepLines w:val="false"/>
        <w:widowControl/>
        <w:numPr>
          <w:ilvl w:val="0"/>
          <w:numId w:val="0"/>
        </w:numPr>
        <w:suppressLineNumbers w:val="false"/>
        <w:ind w:left="0" w:leftChars="0" w:firstLineChars="0"/>
        <w:jc w:val="both"/>
        <w:textAlignment w:val="center"/>
        <w:rPr>
          <w:rFonts w:ascii="仿宋" w:cs="仿宋" w:eastAsia="仿宋" w:hAnsi="仿宋" w:hint="eastAsia"/>
          <w:sz w:val="32"/>
          <w:szCs w:val="32"/>
          <w:highlight w:val="none"/>
          <w:lang w:val="en-US" w:eastAsia="zh-CN"/>
        </w:rPr>
      </w:pPr>
      <w:r>
        <w:rPr>
          <w:rFonts w:ascii="黑体" w:cs="黑体" w:eastAsia="黑体" w:hAnsi="黑体" w:hint="eastAsia"/>
          <w:sz w:val="32"/>
          <w:szCs w:val="32"/>
          <w:highlight w:val="none"/>
          <w:lang w:val="en-US" w:eastAsia="zh-CN"/>
        </w:rPr>
        <w:t>附件3：</w:t>
      </w:r>
      <w:r>
        <w:rPr>
          <w:rFonts w:ascii="仿宋" w:cs="仿宋" w:eastAsia="仿宋" w:hAnsi="仿宋" w:hint="eastAsia"/>
          <w:sz w:val="32"/>
          <w:szCs w:val="32"/>
          <w:highlight w:val="none"/>
          <w:lang w:val="en-US" w:eastAsia="zh-CN"/>
        </w:rPr>
        <w:t>国际货站进出港操作业务企业准入评分细则</w:t>
      </w:r>
    </w:p>
    <w:p w14:paraId="4DD52446">
      <w:pPr>
        <w:pStyle w:val="style0"/>
        <w:numPr>
          <w:ilvl w:val="0"/>
          <w:numId w:val="0"/>
        </w:numPr>
        <w:spacing w:lineRule="exact" w:line="600"/>
        <w:jc w:val="center"/>
        <w:rPr>
          <w:rFonts w:ascii="方正小标宋简体" w:cs="方正小标宋简体" w:eastAsia="方正小标宋简体" w:hAnsi="方正小标宋简体" w:hint="eastAsia"/>
          <w:b w:val="false"/>
          <w:bCs w:val="false"/>
          <w:color w:val="auto"/>
          <w:sz w:val="44"/>
          <w:szCs w:val="44"/>
          <w:highlight w:val="none"/>
          <w:lang w:val="en-US" w:eastAsia="zh-CN"/>
        </w:rPr>
      </w:pPr>
      <w:r>
        <w:rPr>
          <w:rFonts w:ascii="方正小标宋简体" w:cs="方正小标宋简体" w:eastAsia="方正小标宋简体" w:hAnsi="方正小标宋简体" w:hint="eastAsia"/>
          <w:b w:val="false"/>
          <w:bCs w:val="false"/>
          <w:color w:val="auto"/>
          <w:sz w:val="44"/>
          <w:szCs w:val="44"/>
          <w:highlight w:val="none"/>
          <w:lang w:val="en-US" w:eastAsia="zh-CN"/>
        </w:rPr>
        <w:t>国际货站进出港操作业务企业准入评分细则</w:t>
      </w:r>
    </w:p>
    <w:tbl>
      <w:tblPr>
        <w:tblStyle w:val="style154"/>
        <w:tblpPr w:leftFromText="180" w:rightFromText="180" w:topFromText="0" w:bottomFromText="0" w:vertAnchor="text" w:horzAnchor="page" w:tblpX="1987" w:tblpY="692"/>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79"/>
        <w:gridCol w:w="3121"/>
        <w:gridCol w:w="4175"/>
        <w:gridCol w:w="4650"/>
      </w:tblGrid>
      <w:tr w14:paraId="484C94BF">
        <w:trPr/>
        <w:tc>
          <w:tcPr>
            <w:tcW w:w="879" w:type="dxa"/>
            <w:tcBorders/>
          </w:tcPr>
          <w:p w14:paraId="1F9A257B">
            <w:pPr>
              <w:pStyle w:val="style0"/>
              <w:keepNext w:val="false"/>
              <w:keepLines w:val="false"/>
              <w:suppressLineNumbers w:val="false"/>
              <w:spacing w:before="0" w:beforeAutospacing="false" w:after="0" w:afterAutospacing="false"/>
              <w:ind w:left="0" w:right="0"/>
              <w:jc w:val="center"/>
              <w:rPr>
                <w:rFonts w:ascii="仿宋" w:cs="仿宋" w:eastAsia="仿宋" w:hAnsi="仿宋" w:hint="eastAsia"/>
                <w:b/>
                <w:bCs/>
                <w:sz w:val="28"/>
                <w:szCs w:val="28"/>
                <w:highlight w:val="none"/>
                <w:vertAlign w:val="baseline"/>
                <w:lang w:val="en-US" w:eastAsia="zh-CN"/>
              </w:rPr>
            </w:pPr>
            <w:r>
              <w:rPr>
                <w:rFonts w:ascii="仿宋" w:cs="仿宋" w:eastAsia="仿宋" w:hAnsi="仿宋" w:hint="eastAsia"/>
                <w:b/>
                <w:bCs/>
                <w:sz w:val="28"/>
                <w:szCs w:val="28"/>
                <w:highlight w:val="none"/>
                <w:vertAlign w:val="baseline"/>
                <w:lang w:val="en-US" w:eastAsia="zh-CN"/>
              </w:rPr>
              <w:t>序号</w:t>
            </w:r>
          </w:p>
        </w:tc>
        <w:tc>
          <w:tcPr>
            <w:tcW w:w="3121" w:type="dxa"/>
            <w:tcBorders/>
          </w:tcPr>
          <w:p w14:paraId="57DD48C9">
            <w:pPr>
              <w:pStyle w:val="style0"/>
              <w:keepNext w:val="false"/>
              <w:keepLines w:val="false"/>
              <w:suppressLineNumbers w:val="false"/>
              <w:spacing w:before="0" w:beforeAutospacing="false" w:after="0" w:afterAutospacing="false"/>
              <w:ind w:left="0" w:right="0"/>
              <w:jc w:val="center"/>
              <w:rPr>
                <w:rFonts w:ascii="仿宋" w:cs="仿宋" w:eastAsia="仿宋" w:hAnsi="仿宋" w:hint="eastAsia"/>
                <w:b/>
                <w:bCs/>
                <w:sz w:val="28"/>
                <w:szCs w:val="28"/>
                <w:highlight w:val="none"/>
                <w:vertAlign w:val="baseline"/>
                <w:lang w:val="en-US" w:eastAsia="zh-CN"/>
              </w:rPr>
            </w:pPr>
            <w:r>
              <w:rPr>
                <w:rFonts w:ascii="仿宋" w:cs="仿宋" w:eastAsia="仿宋" w:hAnsi="仿宋" w:hint="eastAsia"/>
                <w:b/>
                <w:bCs/>
                <w:sz w:val="28"/>
                <w:szCs w:val="28"/>
                <w:highlight w:val="none"/>
                <w:vertAlign w:val="baseline"/>
                <w:lang w:val="en-US" w:eastAsia="zh-CN"/>
              </w:rPr>
              <w:t>具体条件</w:t>
            </w:r>
          </w:p>
        </w:tc>
        <w:tc>
          <w:tcPr>
            <w:tcW w:w="4175" w:type="dxa"/>
            <w:tcBorders/>
          </w:tcPr>
          <w:p w14:paraId="43EE7B1D">
            <w:pPr>
              <w:pStyle w:val="style0"/>
              <w:keepNext w:val="false"/>
              <w:keepLines w:val="false"/>
              <w:suppressLineNumbers w:val="false"/>
              <w:spacing w:before="0" w:beforeAutospacing="false" w:after="0" w:afterAutospacing="false"/>
              <w:ind w:left="0" w:right="0"/>
              <w:jc w:val="center"/>
              <w:rPr>
                <w:rFonts w:ascii="仿宋" w:cs="仿宋" w:eastAsia="仿宋" w:hAnsi="仿宋" w:hint="eastAsia"/>
                <w:b/>
                <w:bCs/>
                <w:sz w:val="28"/>
                <w:szCs w:val="28"/>
                <w:highlight w:val="none"/>
                <w:vertAlign w:val="baseline"/>
                <w:lang w:val="en-US" w:eastAsia="zh-CN"/>
              </w:rPr>
            </w:pPr>
            <w:r>
              <w:rPr>
                <w:rFonts w:ascii="仿宋" w:cs="仿宋" w:eastAsia="仿宋" w:hAnsi="仿宋" w:hint="eastAsia"/>
                <w:b/>
                <w:bCs/>
                <w:sz w:val="28"/>
                <w:szCs w:val="28"/>
                <w:highlight w:val="none"/>
                <w:vertAlign w:val="baseline"/>
                <w:lang w:val="en-US" w:eastAsia="zh-CN"/>
              </w:rPr>
              <w:t>实施与审核要点</w:t>
            </w:r>
          </w:p>
        </w:tc>
        <w:tc>
          <w:tcPr>
            <w:tcW w:w="4650" w:type="dxa"/>
            <w:tcBorders/>
          </w:tcPr>
          <w:p w14:paraId="7110AB42">
            <w:pPr>
              <w:pStyle w:val="style0"/>
              <w:keepNext w:val="false"/>
              <w:keepLines w:val="false"/>
              <w:suppressLineNumbers w:val="false"/>
              <w:spacing w:before="0" w:beforeAutospacing="false" w:after="0" w:afterAutospacing="false"/>
              <w:ind w:left="0" w:right="0"/>
              <w:jc w:val="center"/>
              <w:rPr>
                <w:rFonts w:ascii="仿宋" w:cs="仿宋" w:eastAsia="仿宋" w:hAnsi="仿宋" w:hint="eastAsia"/>
                <w:b/>
                <w:bCs/>
                <w:sz w:val="28"/>
                <w:szCs w:val="28"/>
                <w:highlight w:val="none"/>
                <w:vertAlign w:val="baseline"/>
                <w:lang w:val="en-US" w:eastAsia="zh-CN"/>
              </w:rPr>
            </w:pPr>
            <w:r>
              <w:rPr>
                <w:rFonts w:ascii="仿宋" w:cs="仿宋" w:eastAsia="仿宋" w:hAnsi="仿宋" w:hint="eastAsia"/>
                <w:b/>
                <w:bCs/>
                <w:sz w:val="28"/>
                <w:szCs w:val="28"/>
                <w:highlight w:val="none"/>
                <w:vertAlign w:val="baseline"/>
                <w:lang w:val="en-US" w:eastAsia="zh-CN"/>
              </w:rPr>
              <w:t>评分规则</w:t>
            </w:r>
          </w:p>
        </w:tc>
      </w:tr>
      <w:tr w14:paraId="31DEEE65">
        <w:tblPrEx/>
        <w:trPr/>
        <w:tc>
          <w:tcPr>
            <w:tcW w:w="879" w:type="dxa"/>
            <w:tcBorders/>
          </w:tcPr>
          <w:p w14:paraId="2C840D7B">
            <w:pPr>
              <w:pStyle w:val="style0"/>
              <w:keepNext w:val="false"/>
              <w:keepLines w:val="false"/>
              <w:suppressLineNumbers w:val="false"/>
              <w:spacing w:before="0" w:beforeAutospacing="false" w:after="0" w:afterAutospacing="false"/>
              <w:ind w:left="0" w:right="0"/>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1</w:t>
            </w:r>
          </w:p>
        </w:tc>
        <w:tc>
          <w:tcPr>
            <w:tcW w:w="3121" w:type="dxa"/>
            <w:tcBorders/>
          </w:tcPr>
          <w:p w14:paraId="4F0EB940">
            <w:pPr>
              <w:pStyle w:val="style0"/>
              <w:keepNext w:val="false"/>
              <w:keepLines w:val="false"/>
              <w:pageBreakBefore w:val="false"/>
              <w:widowControl w:val="false"/>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航空公司（承运人）的授权（</w:t>
            </w:r>
            <w:r>
              <w:rPr>
                <w:rFonts w:ascii="仿宋" w:cs="仿宋" w:eastAsia="仿宋" w:hAnsi="仿宋" w:hint="default"/>
                <w:sz w:val="28"/>
                <w:szCs w:val="28"/>
                <w:highlight w:val="none"/>
                <w:vertAlign w:val="baseline"/>
                <w:lang w:eastAsia="zh-CN"/>
              </w:rPr>
              <w:t>16</w:t>
            </w:r>
            <w:r>
              <w:rPr>
                <w:rFonts w:ascii="仿宋" w:cs="仿宋" w:eastAsia="仿宋" w:hAnsi="仿宋" w:hint="eastAsia"/>
                <w:sz w:val="28"/>
                <w:szCs w:val="28"/>
                <w:highlight w:val="none"/>
                <w:vertAlign w:val="baseline"/>
                <w:lang w:val="en-US" w:eastAsia="zh-CN"/>
              </w:rPr>
              <w:t>分）</w:t>
            </w:r>
          </w:p>
        </w:tc>
        <w:tc>
          <w:tcPr>
            <w:tcW w:w="4175" w:type="dxa"/>
            <w:tcBorders/>
          </w:tcPr>
          <w:p w14:paraId="161E752F">
            <w:pPr>
              <w:pStyle w:val="style0"/>
              <w:keepNext w:val="false"/>
              <w:keepLines w:val="false"/>
              <w:pageBreakBefore w:val="false"/>
              <w:widowControl w:val="false"/>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default"/>
                <w:sz w:val="28"/>
                <w:szCs w:val="28"/>
                <w:highlight w:val="none"/>
                <w:vertAlign w:val="baseline"/>
                <w:lang w:val="en-US"/>
              </w:rPr>
            </w:pPr>
            <w:r>
              <w:rPr>
                <w:rFonts w:ascii="仿宋" w:cs="仿宋" w:eastAsia="仿宋" w:hAnsi="仿宋" w:hint="eastAsia"/>
                <w:sz w:val="28"/>
                <w:szCs w:val="28"/>
                <w:highlight w:val="none"/>
                <w:vertAlign w:val="baseline"/>
                <w:lang w:val="en-US" w:eastAsia="zh-CN"/>
              </w:rPr>
              <w:t>提供航空公司（承运人）的授权数量，不含包机商（包机代理）的授权。</w:t>
            </w:r>
          </w:p>
        </w:tc>
        <w:tc>
          <w:tcPr>
            <w:tcW w:w="4650" w:type="dxa"/>
            <w:tcBorders/>
          </w:tcPr>
          <w:p w14:paraId="138D91A5">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1.每提供一份授权得2分，最高得</w:t>
            </w:r>
            <w:r>
              <w:rPr>
                <w:rFonts w:ascii="仿宋" w:cs="仿宋" w:eastAsia="仿宋" w:hAnsi="仿宋" w:hint="default"/>
                <w:sz w:val="28"/>
                <w:szCs w:val="28"/>
                <w:highlight w:val="none"/>
                <w:vertAlign w:val="baseline"/>
                <w:lang w:eastAsia="zh-CN"/>
              </w:rPr>
              <w:t>16</w:t>
            </w:r>
            <w:r>
              <w:rPr>
                <w:rFonts w:ascii="仿宋" w:cs="仿宋" w:eastAsia="仿宋" w:hAnsi="仿宋" w:hint="eastAsia"/>
                <w:sz w:val="28"/>
                <w:szCs w:val="28"/>
                <w:highlight w:val="none"/>
                <w:vertAlign w:val="baseline"/>
                <w:lang w:val="en-US" w:eastAsia="zh-CN"/>
              </w:rPr>
              <w:t>分。</w:t>
            </w:r>
          </w:p>
          <w:p w14:paraId="1B80B670">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default"/>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2.2025年在郑州机场年度货量4万吨（含）以上的航司最多可出具3份授权；2.5万吨（含）以上</w:t>
            </w:r>
            <w:r>
              <w:rPr>
                <w:rFonts w:ascii="仿宋" w:cs="仿宋" w:eastAsia="仿宋" w:hAnsi="仿宋" w:hint="eastAsia"/>
                <w:color w:val="auto"/>
                <w:sz w:val="28"/>
                <w:szCs w:val="28"/>
                <w:highlight w:val="none"/>
                <w:lang w:val="en-US" w:eastAsia="zh-CN"/>
              </w:rPr>
              <w:t>至4万吨（不含）</w:t>
            </w:r>
            <w:r>
              <w:rPr>
                <w:rFonts w:ascii="仿宋" w:cs="仿宋" w:eastAsia="仿宋" w:hAnsi="仿宋" w:hint="eastAsia"/>
                <w:sz w:val="28"/>
                <w:szCs w:val="28"/>
                <w:highlight w:val="none"/>
                <w:vertAlign w:val="baseline"/>
                <w:lang w:val="en-US" w:eastAsia="zh-CN"/>
              </w:rPr>
              <w:t>的航司最多可出具2份授权；2.5万吨以下的航司最多可出具1份授权，</w:t>
            </w:r>
            <w:r>
              <w:rPr>
                <w:rFonts w:ascii="仿宋" w:cs="仿宋" w:eastAsia="仿宋" w:hAnsi="仿宋" w:hint="eastAsia"/>
                <w:sz w:val="28"/>
                <w:szCs w:val="28"/>
                <w:highlight w:val="none"/>
              </w:rPr>
              <w:t>由</w:t>
            </w:r>
            <w:r>
              <w:rPr>
                <w:rFonts w:ascii="仿宋" w:cs="仿宋" w:eastAsia="仿宋" w:hAnsi="仿宋" w:hint="eastAsia"/>
                <w:sz w:val="28"/>
                <w:szCs w:val="28"/>
                <w:highlight w:val="none"/>
                <w:lang w:val="en-US" w:eastAsia="zh-CN"/>
              </w:rPr>
              <w:t>货运公司</w:t>
            </w:r>
            <w:r>
              <w:rPr>
                <w:rFonts w:ascii="仿宋" w:cs="仿宋" w:eastAsia="仿宋" w:hAnsi="仿宋" w:hint="eastAsia"/>
                <w:sz w:val="28"/>
                <w:szCs w:val="28"/>
                <w:highlight w:val="none"/>
              </w:rPr>
              <w:t>提供的</w:t>
            </w:r>
            <w:r>
              <w:rPr>
                <w:rFonts w:ascii="仿宋" w:cs="仿宋" w:eastAsia="仿宋" w:hAnsi="仿宋" w:hint="eastAsia"/>
                <w:sz w:val="28"/>
                <w:szCs w:val="28"/>
                <w:highlight w:val="none"/>
                <w:lang w:val="en-US" w:eastAsia="zh-CN"/>
              </w:rPr>
              <w:t>航司</w:t>
            </w:r>
            <w:r>
              <w:rPr>
                <w:rFonts w:ascii="仿宋" w:cs="仿宋" w:eastAsia="仿宋" w:hAnsi="仿宋" w:hint="eastAsia"/>
                <w:sz w:val="28"/>
                <w:szCs w:val="28"/>
                <w:highlight w:val="none"/>
              </w:rPr>
              <w:t>货量作为认定依据</w:t>
            </w:r>
            <w:r>
              <w:rPr>
                <w:rFonts w:ascii="仿宋" w:cs="仿宋" w:eastAsia="仿宋" w:hAnsi="仿宋" w:hint="eastAsia"/>
                <w:sz w:val="28"/>
                <w:szCs w:val="28"/>
                <w:highlight w:val="none"/>
                <w:vertAlign w:val="baseline"/>
                <w:lang w:val="en-US" w:eastAsia="zh-CN"/>
              </w:rPr>
              <w:t>。</w:t>
            </w:r>
          </w:p>
          <w:p w14:paraId="3238BFD6">
            <w:pPr>
              <w:pStyle w:val="style0"/>
              <w:keepNext w:val="false"/>
              <w:keepLines w:val="false"/>
              <w:pageBreakBefore w:val="false"/>
              <w:widowControl w:val="false"/>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default"/>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3</w:t>
            </w:r>
            <w:r>
              <w:rPr>
                <w:rFonts w:ascii="仿宋" w:cs="仿宋" w:eastAsia="仿宋" w:hAnsi="仿宋" w:hint="eastAsia"/>
                <w:sz w:val="28"/>
                <w:szCs w:val="28"/>
                <w:highlight w:val="none"/>
                <w:vertAlign w:val="baseline"/>
                <w:lang w:val="en-US" w:eastAsia="zh-CN"/>
              </w:rPr>
              <w:t>.</w:t>
            </w:r>
            <w:r>
              <w:rPr>
                <w:rFonts w:ascii="仿宋" w:cs="仿宋" w:eastAsia="仿宋" w:hAnsi="仿宋" w:hint="eastAsia"/>
                <w:color w:val="auto"/>
                <w:sz w:val="28"/>
                <w:szCs w:val="28"/>
                <w:highlight w:val="none"/>
                <w:u w:val="none"/>
                <w:vertAlign w:val="baseline"/>
                <w:lang w:val="en-US" w:eastAsia="zh-CN"/>
              </w:rPr>
              <w:t>备注：授权书详见模板（附件4）</w:t>
            </w:r>
            <w:r>
              <w:rPr>
                <w:rFonts w:ascii="仿宋" w:cs="仿宋" w:eastAsia="仿宋" w:hAnsi="仿宋" w:hint="eastAsia"/>
                <w:sz w:val="28"/>
                <w:szCs w:val="28"/>
                <w:highlight w:val="none"/>
                <w:vertAlign w:val="baseline"/>
                <w:lang w:val="en-US" w:eastAsia="zh-CN"/>
              </w:rPr>
              <w:t>。</w:t>
            </w:r>
          </w:p>
        </w:tc>
      </w:tr>
      <w:tr w14:paraId="7C8B5B31">
        <w:tblPrEx/>
        <w:trPr/>
        <w:tc>
          <w:tcPr>
            <w:tcW w:w="879" w:type="dxa"/>
            <w:tcBorders/>
          </w:tcPr>
          <w:p w14:paraId="4ACEB76F">
            <w:pPr>
              <w:pStyle w:val="style0"/>
              <w:keepNext w:val="false"/>
              <w:keepLines w:val="false"/>
              <w:suppressLineNumbers w:val="false"/>
              <w:spacing w:before="0" w:beforeAutospacing="false" w:after="0" w:afterAutospacing="false"/>
              <w:ind w:left="0" w:right="0"/>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2</w:t>
            </w:r>
          </w:p>
        </w:tc>
        <w:tc>
          <w:tcPr>
            <w:tcW w:w="3121" w:type="dxa"/>
            <w:tcBorders/>
          </w:tcPr>
          <w:p w14:paraId="5C41EECA">
            <w:pPr>
              <w:pStyle w:val="style0"/>
              <w:keepNext w:val="false"/>
              <w:keepLines w:val="false"/>
              <w:pageBreakBefore w:val="false"/>
              <w:widowControl w:val="false"/>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具有组板/拆板服务所必需的设备（可租赁）（20分）</w:t>
            </w:r>
          </w:p>
        </w:tc>
        <w:tc>
          <w:tcPr>
            <w:tcW w:w="4175" w:type="dxa"/>
            <w:tcBorders/>
          </w:tcPr>
          <w:p w14:paraId="4F315DC7">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1.可提供的叉车数量（未悬挂民航C牌照的仅限新能源车辆）；</w:t>
            </w:r>
          </w:p>
          <w:p w14:paraId="5F0AB68C">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2.设备资质证书（质量合格证书c1、特种设备使用登记证书c2、新能源设备数量c3），请列明种类数量及对应关系。</w:t>
            </w:r>
          </w:p>
        </w:tc>
        <w:tc>
          <w:tcPr>
            <w:tcW w:w="4650" w:type="dxa"/>
            <w:tcBorders/>
          </w:tcPr>
          <w:p w14:paraId="52F9D7C4">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1.提供1台10吨叉车得6分，提供2台及以上10吨叉车得10分。</w:t>
            </w:r>
          </w:p>
          <w:p w14:paraId="26EC2CBE">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2.提供10台2.5吨叉车（含）以上7吨以下（含）得10分；提供5-9台2.5吨叉车（含）以上7吨以下（含）叉车得5分；少于5台得2分。</w:t>
            </w:r>
          </w:p>
          <w:p w14:paraId="60197619">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3.c1、c2缺少任一材料的，则不计入叉车数量；租赁机场集团所属车辆的，可提供租赁合同，无需提供c1、c2。</w:t>
            </w:r>
          </w:p>
        </w:tc>
      </w:tr>
      <w:tr w14:paraId="6D03F78C">
        <w:tblPrEx/>
        <w:trPr/>
        <w:tc>
          <w:tcPr>
            <w:tcW w:w="879" w:type="dxa"/>
            <w:tcBorders/>
          </w:tcPr>
          <w:p w14:paraId="23E11D0A">
            <w:pPr>
              <w:pStyle w:val="style0"/>
              <w:keepNext w:val="false"/>
              <w:keepLines w:val="false"/>
              <w:suppressLineNumbers w:val="false"/>
              <w:spacing w:before="0" w:beforeAutospacing="false" w:after="0" w:afterAutospacing="false"/>
              <w:ind w:left="0" w:right="0"/>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3</w:t>
            </w:r>
          </w:p>
        </w:tc>
        <w:tc>
          <w:tcPr>
            <w:tcW w:w="3121" w:type="dxa"/>
            <w:tcBorders/>
          </w:tcPr>
          <w:p w14:paraId="4AF813AF">
            <w:pPr>
              <w:pStyle w:val="style0"/>
              <w:keepNext w:val="false"/>
              <w:keepLines w:val="false"/>
              <w:pageBreakBefore w:val="false"/>
              <w:widowControl w:val="false"/>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操作人员应具备数量要求和资质要求（2</w:t>
            </w:r>
            <w:r>
              <w:rPr>
                <w:rFonts w:ascii="仿宋" w:cs="仿宋" w:eastAsia="仿宋" w:hAnsi="仿宋" w:hint="default"/>
                <w:sz w:val="28"/>
                <w:szCs w:val="28"/>
                <w:highlight w:val="none"/>
                <w:vertAlign w:val="baseline"/>
                <w:lang w:eastAsia="zh-CN"/>
              </w:rPr>
              <w:t>7</w:t>
            </w:r>
            <w:r>
              <w:rPr>
                <w:rFonts w:ascii="仿宋" w:cs="仿宋" w:eastAsia="仿宋" w:hAnsi="仿宋" w:hint="eastAsia"/>
                <w:sz w:val="28"/>
                <w:szCs w:val="28"/>
                <w:highlight w:val="none"/>
                <w:vertAlign w:val="baseline"/>
                <w:lang w:val="en-US" w:eastAsia="zh-CN"/>
              </w:rPr>
              <w:t>分）</w:t>
            </w:r>
          </w:p>
        </w:tc>
        <w:tc>
          <w:tcPr>
            <w:tcW w:w="4175" w:type="dxa"/>
            <w:tcBorders/>
          </w:tcPr>
          <w:p w14:paraId="0EF800A7">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1.操作团队人员数量及花名册（与社保清单或合同保持一致），并列明姓名、身份证号码、岗位、资质证书等信息。</w:t>
            </w:r>
          </w:p>
          <w:p w14:paraId="3D7B9D19">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1.人员资质证书（叉车证d1、危险品证d2），列明种类。</w:t>
            </w:r>
          </w:p>
          <w:p w14:paraId="0EEEF837">
            <w:pPr>
              <w:pStyle w:val="style0"/>
              <w:keepNext w:val="false"/>
              <w:keepLines w:val="false"/>
              <w:pageBreakBefore w:val="false"/>
              <w:widowControl w:val="false"/>
              <w:numPr>
                <w:ilvl w:val="0"/>
                <w:numId w:val="0"/>
              </w:numPr>
              <w:suppressLineNumbers w:val="false"/>
              <w:tabs>
                <w:tab w:val="left" w:leader="none" w:pos="312"/>
              </w:tabs>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rPr>
            </w:pPr>
          </w:p>
        </w:tc>
        <w:tc>
          <w:tcPr>
            <w:tcW w:w="4650" w:type="dxa"/>
            <w:tcBorders/>
          </w:tcPr>
          <w:p w14:paraId="582E71ED">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1.操作团队人员60人（含）以上得15分；40至59人得</w:t>
            </w:r>
            <w:r>
              <w:rPr>
                <w:rFonts w:ascii="仿宋" w:cs="仿宋" w:eastAsia="仿宋" w:hAnsi="仿宋" w:hint="default"/>
                <w:sz w:val="28"/>
                <w:szCs w:val="28"/>
                <w:highlight w:val="none"/>
                <w:vertAlign w:val="baseline"/>
                <w:lang w:eastAsia="zh-CN"/>
              </w:rPr>
              <w:t>10</w:t>
            </w:r>
            <w:r>
              <w:rPr>
                <w:rFonts w:ascii="仿宋" w:cs="仿宋" w:eastAsia="仿宋" w:hAnsi="仿宋" w:hint="eastAsia"/>
                <w:sz w:val="28"/>
                <w:szCs w:val="28"/>
                <w:highlight w:val="none"/>
                <w:vertAlign w:val="baseline"/>
                <w:lang w:val="en-US" w:eastAsia="zh-CN"/>
              </w:rPr>
              <w:t>分，30（含）-39人得10分；30人以下得</w:t>
            </w:r>
            <w:r>
              <w:rPr>
                <w:rFonts w:ascii="仿宋" w:cs="仿宋" w:eastAsia="仿宋" w:hAnsi="仿宋" w:hint="default"/>
                <w:sz w:val="28"/>
                <w:szCs w:val="28"/>
                <w:highlight w:val="none"/>
                <w:vertAlign w:val="baseline"/>
                <w:lang w:eastAsia="zh-CN"/>
              </w:rPr>
              <w:t>2</w:t>
            </w:r>
            <w:r>
              <w:rPr>
                <w:rFonts w:ascii="仿宋" w:cs="仿宋" w:eastAsia="仿宋" w:hAnsi="仿宋" w:hint="eastAsia"/>
                <w:sz w:val="28"/>
                <w:szCs w:val="28"/>
                <w:highlight w:val="none"/>
                <w:vertAlign w:val="baseline"/>
                <w:lang w:val="en-US" w:eastAsia="zh-CN"/>
              </w:rPr>
              <w:t>分。</w:t>
            </w:r>
          </w:p>
          <w:p w14:paraId="06B0A4C1">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2.叉车证d1，10人以上（含）得</w:t>
            </w:r>
            <w:r>
              <w:rPr>
                <w:rFonts w:ascii="仿宋" w:cs="仿宋" w:eastAsia="仿宋" w:hAnsi="仿宋" w:hint="default"/>
                <w:sz w:val="28"/>
                <w:szCs w:val="28"/>
                <w:highlight w:val="none"/>
                <w:vertAlign w:val="baseline"/>
                <w:lang w:eastAsia="zh-CN"/>
              </w:rPr>
              <w:t>6</w:t>
            </w:r>
            <w:r>
              <w:rPr>
                <w:rFonts w:ascii="仿宋" w:cs="仿宋" w:eastAsia="仿宋" w:hAnsi="仿宋" w:hint="eastAsia"/>
                <w:sz w:val="28"/>
                <w:szCs w:val="28"/>
                <w:highlight w:val="none"/>
                <w:vertAlign w:val="baseline"/>
                <w:lang w:val="en-US" w:eastAsia="zh-CN"/>
              </w:rPr>
              <w:t>分，</w:t>
            </w:r>
            <w:r>
              <w:rPr>
                <w:rFonts w:ascii="仿宋" w:cs="仿宋" w:eastAsia="仿宋" w:hAnsi="仿宋" w:hint="default"/>
                <w:sz w:val="28"/>
                <w:szCs w:val="28"/>
                <w:highlight w:val="none"/>
                <w:vertAlign w:val="baseline"/>
                <w:lang w:eastAsia="zh-CN"/>
              </w:rPr>
              <w:t>10人以下不得分</w:t>
            </w:r>
            <w:r>
              <w:rPr>
                <w:rFonts w:ascii="仿宋" w:cs="仿宋" w:eastAsia="仿宋" w:hAnsi="仿宋" w:hint="eastAsia"/>
                <w:sz w:val="28"/>
                <w:szCs w:val="28"/>
                <w:highlight w:val="none"/>
                <w:vertAlign w:val="baseline"/>
                <w:lang w:val="en-US" w:eastAsia="zh-CN"/>
              </w:rPr>
              <w:t>叉车证是指中华人民共和国特种设备安全管理和作业人员证（代码N1）。</w:t>
            </w:r>
          </w:p>
          <w:p w14:paraId="4AC33326">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3.危险品证d2 ， 10人以上（含）得</w:t>
            </w:r>
            <w:r>
              <w:rPr>
                <w:rFonts w:ascii="仿宋" w:cs="仿宋" w:eastAsia="仿宋" w:hAnsi="仿宋" w:hint="default"/>
                <w:sz w:val="28"/>
                <w:szCs w:val="28"/>
                <w:highlight w:val="none"/>
                <w:vertAlign w:val="baseline"/>
                <w:lang w:eastAsia="zh-CN"/>
              </w:rPr>
              <w:t>6</w:t>
            </w:r>
            <w:r>
              <w:rPr>
                <w:rFonts w:ascii="仿宋" w:cs="仿宋" w:eastAsia="仿宋" w:hAnsi="仿宋" w:hint="eastAsia"/>
                <w:sz w:val="28"/>
                <w:szCs w:val="28"/>
                <w:highlight w:val="none"/>
                <w:vertAlign w:val="baseline"/>
                <w:lang w:val="en-US" w:eastAsia="zh-CN"/>
              </w:rPr>
              <w:t>分，</w:t>
            </w:r>
            <w:r>
              <w:rPr>
                <w:rFonts w:ascii="仿宋" w:cs="仿宋" w:eastAsia="仿宋" w:hAnsi="仿宋" w:hint="default"/>
                <w:sz w:val="28"/>
                <w:szCs w:val="28"/>
                <w:highlight w:val="none"/>
                <w:vertAlign w:val="baseline"/>
                <w:lang w:eastAsia="zh-CN"/>
              </w:rPr>
              <w:t>10人以下不得分，</w:t>
            </w:r>
            <w:r>
              <w:rPr>
                <w:rFonts w:ascii="仿宋" w:cs="仿宋" w:eastAsia="仿宋" w:hAnsi="仿宋" w:hint="eastAsia"/>
                <w:sz w:val="28"/>
                <w:szCs w:val="28"/>
                <w:highlight w:val="none"/>
                <w:vertAlign w:val="baseline"/>
                <w:lang w:val="en-US" w:eastAsia="zh-CN"/>
              </w:rPr>
              <w:t>危险品证是指中国民航危险品运输培训合格证。</w:t>
            </w:r>
          </w:p>
          <w:p w14:paraId="594DD084">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4.上述证件均需在有效期内。</w:t>
            </w:r>
          </w:p>
        </w:tc>
      </w:tr>
      <w:tr w14:paraId="0663E87A">
        <w:tblPrEx/>
        <w:trPr/>
        <w:tc>
          <w:tcPr>
            <w:tcW w:w="879" w:type="dxa"/>
            <w:tcBorders/>
          </w:tcPr>
          <w:p w14:paraId="1C746260">
            <w:pPr>
              <w:pStyle w:val="style0"/>
              <w:keepNext w:val="false"/>
              <w:keepLines w:val="false"/>
              <w:suppressLineNumbers w:val="false"/>
              <w:spacing w:before="0" w:beforeAutospacing="false" w:after="0" w:afterAutospacing="false"/>
              <w:ind w:left="0" w:right="0"/>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4</w:t>
            </w:r>
          </w:p>
        </w:tc>
        <w:tc>
          <w:tcPr>
            <w:tcW w:w="3121" w:type="dxa"/>
            <w:tcBorders/>
          </w:tcPr>
          <w:p w14:paraId="41BEE572">
            <w:pPr>
              <w:pStyle w:val="style0"/>
              <w:keepNext w:val="false"/>
              <w:keepLines w:val="false"/>
              <w:pageBreakBefore w:val="false"/>
              <w:widowControl w:val="false"/>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具有完善健全的安全管理制度（2</w:t>
            </w:r>
            <w:r>
              <w:rPr>
                <w:rFonts w:ascii="仿宋" w:cs="仿宋" w:eastAsia="仿宋" w:hAnsi="仿宋" w:hint="default"/>
                <w:sz w:val="28"/>
                <w:szCs w:val="28"/>
                <w:highlight w:val="none"/>
                <w:vertAlign w:val="baseline"/>
                <w:lang w:eastAsia="zh-CN"/>
              </w:rPr>
              <w:t>7</w:t>
            </w:r>
            <w:r>
              <w:rPr>
                <w:rFonts w:ascii="仿宋" w:cs="仿宋" w:eastAsia="仿宋" w:hAnsi="仿宋" w:hint="eastAsia"/>
                <w:sz w:val="28"/>
                <w:szCs w:val="28"/>
                <w:highlight w:val="none"/>
                <w:vertAlign w:val="baseline"/>
                <w:lang w:val="en-US" w:eastAsia="zh-CN"/>
              </w:rPr>
              <w:t>分）</w:t>
            </w:r>
          </w:p>
        </w:tc>
        <w:tc>
          <w:tcPr>
            <w:tcW w:w="4175" w:type="dxa"/>
            <w:tcBorders/>
          </w:tcPr>
          <w:p w14:paraId="648A929C">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rPr>
            </w:pPr>
            <w:r>
              <w:rPr>
                <w:rFonts w:ascii="仿宋" w:cs="仿宋" w:eastAsia="仿宋" w:hAnsi="仿宋" w:hint="eastAsia"/>
                <w:sz w:val="28"/>
                <w:szCs w:val="28"/>
                <w:highlight w:val="none"/>
              </w:rPr>
              <w:t>1.安全管理体系手册</w:t>
            </w:r>
          </w:p>
          <w:p w14:paraId="612E6CC9">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rPr>
            </w:pPr>
            <w:r>
              <w:rPr>
                <w:rFonts w:ascii="仿宋" w:cs="仿宋" w:eastAsia="仿宋" w:hAnsi="仿宋" w:hint="eastAsia"/>
                <w:sz w:val="28"/>
                <w:szCs w:val="28"/>
                <w:highlight w:val="none"/>
              </w:rPr>
              <w:t>2.安全风险分级管控和隐患排查治理双重预防工作机制</w:t>
            </w:r>
          </w:p>
          <w:p w14:paraId="1366B6B2">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rPr>
            </w:pPr>
            <w:r>
              <w:rPr>
                <w:rFonts w:ascii="仿宋" w:cs="仿宋" w:eastAsia="仿宋" w:hAnsi="仿宋" w:hint="eastAsia"/>
                <w:sz w:val="28"/>
                <w:szCs w:val="28"/>
                <w:highlight w:val="none"/>
              </w:rPr>
              <w:t>3.安全监督检查管理规定</w:t>
            </w:r>
          </w:p>
          <w:p w14:paraId="7E937791">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rPr>
            </w:pPr>
            <w:r>
              <w:rPr>
                <w:rFonts w:ascii="仿宋" w:cs="仿宋" w:eastAsia="仿宋" w:hAnsi="仿宋" w:hint="eastAsia"/>
                <w:sz w:val="28"/>
                <w:szCs w:val="28"/>
                <w:highlight w:val="none"/>
              </w:rPr>
              <w:t>4.安全信息上报制度</w:t>
            </w:r>
          </w:p>
          <w:p w14:paraId="6D4BD245">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rPr>
            </w:pPr>
            <w:r>
              <w:rPr>
                <w:rFonts w:ascii="仿宋" w:cs="仿宋" w:eastAsia="仿宋" w:hAnsi="仿宋" w:hint="eastAsia"/>
                <w:sz w:val="28"/>
                <w:szCs w:val="28"/>
                <w:highlight w:val="none"/>
              </w:rPr>
              <w:t>5.现场应急处置预案</w:t>
            </w:r>
          </w:p>
          <w:p w14:paraId="6C9E6043">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rPr>
            </w:pPr>
            <w:r>
              <w:rPr>
                <w:rFonts w:ascii="仿宋" w:cs="仿宋" w:eastAsia="仿宋" w:hAnsi="仿宋" w:hint="eastAsia"/>
                <w:sz w:val="28"/>
                <w:szCs w:val="28"/>
                <w:highlight w:val="none"/>
              </w:rPr>
              <w:t>6.安全教育培训制度</w:t>
            </w:r>
          </w:p>
          <w:p w14:paraId="5E0D0E62">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rPr>
            </w:pPr>
            <w:r>
              <w:rPr>
                <w:rFonts w:ascii="仿宋" w:cs="仿宋" w:eastAsia="仿宋" w:hAnsi="仿宋" w:hint="eastAsia"/>
                <w:sz w:val="28"/>
                <w:szCs w:val="28"/>
                <w:highlight w:val="none"/>
              </w:rPr>
              <w:t>7.全员安全责任制</w:t>
            </w:r>
          </w:p>
          <w:p w14:paraId="55A27DEC">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rPr>
            </w:pPr>
            <w:r>
              <w:rPr>
                <w:rFonts w:ascii="仿宋" w:cs="仿宋" w:eastAsia="仿宋" w:hAnsi="仿宋" w:hint="eastAsia"/>
                <w:sz w:val="28"/>
                <w:szCs w:val="28"/>
                <w:highlight w:val="none"/>
              </w:rPr>
              <w:t>8.内部事件调查机制</w:t>
            </w:r>
          </w:p>
          <w:p w14:paraId="075364CE">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rPr>
            </w:pPr>
            <w:r>
              <w:rPr>
                <w:rFonts w:ascii="仿宋" w:cs="仿宋" w:eastAsia="仿宋" w:hAnsi="仿宋" w:hint="eastAsia"/>
                <w:sz w:val="28"/>
                <w:szCs w:val="28"/>
                <w:highlight w:val="none"/>
              </w:rPr>
              <w:t>9.设施设备管理制度</w:t>
            </w:r>
          </w:p>
          <w:p w14:paraId="2C65A76B">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rPr>
            </w:pPr>
            <w:r>
              <w:rPr>
                <w:rFonts w:ascii="仿宋" w:cs="仿宋" w:eastAsia="仿宋" w:hAnsi="仿宋" w:hint="eastAsia"/>
                <w:sz w:val="28"/>
                <w:szCs w:val="28"/>
                <w:highlight w:val="none"/>
              </w:rPr>
              <w:t>10.劳保用品管理制度</w:t>
            </w:r>
          </w:p>
          <w:p w14:paraId="5BEEC043">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rPr>
            </w:pPr>
            <w:r>
              <w:rPr>
                <w:rFonts w:ascii="仿宋" w:cs="仿宋" w:eastAsia="仿宋" w:hAnsi="仿宋" w:hint="eastAsia"/>
                <w:sz w:val="28"/>
                <w:szCs w:val="28"/>
                <w:highlight w:val="none"/>
              </w:rPr>
              <w:t>11.叉车使用制度</w:t>
            </w:r>
          </w:p>
          <w:p w14:paraId="14E760E1">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rPr>
            </w:pPr>
            <w:r>
              <w:rPr>
                <w:rFonts w:ascii="仿宋" w:cs="仿宋" w:eastAsia="仿宋" w:hAnsi="仿宋" w:hint="eastAsia"/>
                <w:sz w:val="28"/>
                <w:szCs w:val="28"/>
                <w:highlight w:val="none"/>
              </w:rPr>
              <w:t>12.安全奖惩制度</w:t>
            </w:r>
          </w:p>
          <w:p w14:paraId="21A0C761">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rPr>
            </w:pPr>
            <w:r>
              <w:rPr>
                <w:rFonts w:ascii="仿宋" w:cs="仿宋" w:eastAsia="仿宋" w:hAnsi="仿宋" w:hint="eastAsia"/>
                <w:sz w:val="28"/>
                <w:szCs w:val="28"/>
                <w:highlight w:val="none"/>
              </w:rPr>
              <w:t>13.控制区证件管理制度</w:t>
            </w:r>
          </w:p>
          <w:p w14:paraId="1D839E77">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rPr>
            </w:pPr>
            <w:r>
              <w:rPr>
                <w:rFonts w:ascii="仿宋" w:cs="仿宋" w:eastAsia="仿宋" w:hAnsi="仿宋" w:hint="eastAsia"/>
                <w:sz w:val="28"/>
                <w:szCs w:val="28"/>
                <w:highlight w:val="none"/>
              </w:rPr>
              <w:t>14.业务操作流程</w:t>
            </w:r>
          </w:p>
          <w:p w14:paraId="1F17DA82">
            <w:pPr>
              <w:pStyle w:val="style0"/>
              <w:keepNext w:val="false"/>
              <w:keepLines w:val="false"/>
              <w:pageBreakBefore w:val="false"/>
              <w:widowControl w:val="false"/>
              <w:numPr>
                <w:ilvl w:val="0"/>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rPr>
              <w:t>以上制度可通过安全管理体系手册体现或结合实际运行情况单独拟定。</w:t>
            </w:r>
          </w:p>
        </w:tc>
        <w:tc>
          <w:tcPr>
            <w:tcW w:w="4650" w:type="dxa"/>
            <w:tcBorders/>
          </w:tcPr>
          <w:p w14:paraId="5DF4FD80">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1.能提供全部制度和规定得14分，缺少一项少得1分。</w:t>
            </w:r>
          </w:p>
          <w:p w14:paraId="164E83B2">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2.制度内容较完善得1-7分。</w:t>
            </w:r>
          </w:p>
          <w:p w14:paraId="0A252F09">
            <w:pPr>
              <w:pStyle w:val="style0"/>
              <w:keepNext w:val="false"/>
              <w:keepLines w:val="false"/>
              <w:pageBreakBefore w:val="false"/>
              <w:widowControl w:val="false"/>
              <w:numPr>
                <w:ilvl w:val="-1"/>
                <w:numId w:val="0"/>
              </w:numPr>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rPr>
            </w:pPr>
            <w:r>
              <w:rPr>
                <w:rFonts w:ascii="仿宋" w:cs="仿宋" w:eastAsia="仿宋" w:hAnsi="仿宋" w:hint="eastAsia"/>
                <w:sz w:val="28"/>
                <w:szCs w:val="28"/>
                <w:highlight w:val="none"/>
                <w:vertAlign w:val="baseline"/>
                <w:lang w:val="en-US" w:eastAsia="zh-CN"/>
              </w:rPr>
              <w:t>3.具有可操作性得1-6分。</w:t>
            </w:r>
          </w:p>
        </w:tc>
      </w:tr>
      <w:tr w14:paraId="60C0CB23">
        <w:tblPrEx/>
        <w:trPr/>
        <w:tc>
          <w:tcPr>
            <w:tcW w:w="879" w:type="dxa"/>
            <w:tcBorders/>
          </w:tcPr>
          <w:p w14:paraId="5CF91354">
            <w:pPr>
              <w:pStyle w:val="style0"/>
              <w:keepNext w:val="false"/>
              <w:keepLines w:val="false"/>
              <w:suppressLineNumbers w:val="false"/>
              <w:spacing w:before="0" w:beforeAutospacing="false" w:after="0" w:afterAutospacing="false"/>
              <w:ind w:left="0" w:right="0"/>
              <w:rPr>
                <w:rFonts w:ascii="仿宋" w:cs="仿宋" w:eastAsia="仿宋" w:hAnsi="仿宋" w:hint="default"/>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5</w:t>
            </w:r>
          </w:p>
        </w:tc>
        <w:tc>
          <w:tcPr>
            <w:tcW w:w="3121" w:type="dxa"/>
            <w:tcBorders/>
          </w:tcPr>
          <w:p w14:paraId="7A52871F">
            <w:pPr>
              <w:pStyle w:val="style0"/>
              <w:keepNext w:val="false"/>
              <w:keepLines w:val="false"/>
              <w:pageBreakBefore w:val="false"/>
              <w:widowControl w:val="false"/>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具有组板或者拆板操作经验（10分）</w:t>
            </w:r>
          </w:p>
        </w:tc>
        <w:tc>
          <w:tcPr>
            <w:tcW w:w="4175" w:type="dxa"/>
            <w:tcBorders/>
          </w:tcPr>
          <w:p w14:paraId="45884238">
            <w:pPr>
              <w:pStyle w:val="style0"/>
              <w:keepNext w:val="false"/>
              <w:keepLines w:val="false"/>
              <w:pageBreakBefore w:val="false"/>
              <w:widowControl w:val="false"/>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提供2021年以来与郑州机场或其他机场签订的一年以上（含）货站操作协议（合同），需涵盖组板或拆板等业务内容。（提供合同原件或者加盖公司公章的扫描件，可将涉及的保密信息遮挡）</w:t>
            </w:r>
          </w:p>
        </w:tc>
        <w:tc>
          <w:tcPr>
            <w:tcW w:w="4650" w:type="dxa"/>
            <w:tcBorders/>
          </w:tcPr>
          <w:p w14:paraId="3AEA9FBC">
            <w:pPr>
              <w:pStyle w:val="style0"/>
              <w:keepNext w:val="false"/>
              <w:keepLines w:val="false"/>
              <w:pageBreakBefore w:val="false"/>
              <w:widowControl w:val="false"/>
              <w:suppressLineNumbers w:val="false"/>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每提供一份合同得2分，最高得10分。</w:t>
            </w:r>
          </w:p>
        </w:tc>
      </w:tr>
      <w:tr w14:paraId="796D0B6A">
        <w:tblPrEx/>
        <w:trPr/>
        <w:tc>
          <w:tcPr>
            <w:tcW w:w="879" w:type="dxa"/>
            <w:tcBorders/>
          </w:tcPr>
          <w:p w14:paraId="1D8623B7">
            <w:pPr>
              <w:pStyle w:val="style0"/>
              <w:keepNext w:val="false"/>
              <w:keepLines w:val="false"/>
              <w:suppressLineNumbers w:val="false"/>
              <w:spacing w:before="0" w:beforeAutospacing="false" w:after="0" w:afterAutospacing="false"/>
              <w:ind w:left="0" w:right="0"/>
              <w:rPr>
                <w:rFonts w:ascii="仿宋" w:cs="仿宋" w:eastAsia="仿宋" w:hAnsi="仿宋" w:hint="eastAsia"/>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备注</w:t>
            </w:r>
          </w:p>
        </w:tc>
        <w:tc>
          <w:tcPr>
            <w:tcW w:w="11946" w:type="dxa"/>
            <w:gridSpan w:val="3"/>
            <w:tcBorders/>
          </w:tcPr>
          <w:p w14:paraId="6756CB88">
            <w:pPr>
              <w:pStyle w:val="style0"/>
              <w:keepNext w:val="false"/>
              <w:keepLines w:val="false"/>
              <w:pageBreakBefore w:val="false"/>
              <w:widowControl w:val="false"/>
              <w:numPr>
                <w:ilvl w:val="0"/>
                <w:numId w:val="1"/>
              </w:numPr>
              <w:suppressLineNumbers w:val="false"/>
              <w:tabs>
                <w:tab w:val="clear" w:pos="312"/>
              </w:tabs>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最终得分为去掉一个最高分和一个最低分后的平均值（分值四舍五入后保留小数点后两位）。</w:t>
            </w:r>
          </w:p>
          <w:p w14:paraId="2C9D7067">
            <w:pPr>
              <w:pStyle w:val="style0"/>
              <w:keepNext w:val="false"/>
              <w:keepLines w:val="false"/>
              <w:pageBreakBefore w:val="false"/>
              <w:widowControl w:val="false"/>
              <w:numPr>
                <w:ilvl w:val="0"/>
                <w:numId w:val="1"/>
              </w:numPr>
              <w:suppressLineNumbers w:val="false"/>
              <w:tabs>
                <w:tab w:val="clear" w:pos="312"/>
              </w:tabs>
              <w:kinsoku/>
              <w:wordWrap/>
              <w:overflowPunct/>
              <w:topLinePunct w:val="false"/>
              <w:autoSpaceDE/>
              <w:autoSpaceDN/>
              <w:bidi w:val="false"/>
              <w:adjustRightInd/>
              <w:snapToGrid/>
              <w:spacing w:before="0" w:beforeAutospacing="false" w:after="0" w:afterAutospacing="false" w:lineRule="exact" w:line="570"/>
              <w:ind w:left="0" w:right="0"/>
              <w:textAlignment w:val="auto"/>
              <w:rPr>
                <w:rFonts w:ascii="仿宋" w:cs="仿宋" w:eastAsia="仿宋" w:hAnsi="仿宋" w:hint="eastAsia"/>
                <w:sz w:val="28"/>
                <w:szCs w:val="28"/>
                <w:highlight w:val="none"/>
                <w:vertAlign w:val="baseline"/>
                <w:lang w:val="en-US" w:eastAsia="zh-CN"/>
              </w:rPr>
            </w:pPr>
            <w:r>
              <w:rPr>
                <w:rFonts w:ascii="仿宋" w:cs="仿宋" w:eastAsia="仿宋" w:hAnsi="仿宋" w:hint="eastAsia"/>
                <w:sz w:val="28"/>
                <w:szCs w:val="28"/>
                <w:highlight w:val="none"/>
                <w:vertAlign w:val="baseline"/>
                <w:lang w:val="en-US" w:eastAsia="zh-CN"/>
              </w:rPr>
              <w:t>若多名参选企业总得分一致，依照评分表序号顺序得分高低确定排名。</w:t>
            </w:r>
          </w:p>
        </w:tc>
      </w:tr>
    </w:tbl>
    <w:p w14:paraId="74CE1CC5">
      <w:pPr>
        <w:pStyle w:val="style0"/>
        <w:rPr>
          <w:highlight w:val="none"/>
        </w:rPr>
      </w:pPr>
    </w:p>
    <w:p w14:paraId="403DF233">
      <w:pPr>
        <w:pStyle w:val="style0"/>
        <w:rPr>
          <w:highlight w:val="none"/>
        </w:rPr>
      </w:pPr>
    </w:p>
    <w:p w14:paraId="2965DC68">
      <w:pPr>
        <w:pStyle w:val="style0"/>
        <w:rPr>
          <w:highlight w:val="none"/>
        </w:rPr>
      </w:pPr>
    </w:p>
    <w:p w14:paraId="697A7857">
      <w:pPr>
        <w:pStyle w:val="style0"/>
        <w:rPr>
          <w:highlight w:val="none"/>
        </w:rPr>
      </w:pPr>
    </w:p>
    <w:p w14:paraId="08DE45A1">
      <w:pPr>
        <w:pStyle w:val="style0"/>
        <w:rPr>
          <w:highlight w:val="none"/>
        </w:rPr>
      </w:pPr>
    </w:p>
    <w:p w14:paraId="32378BBE">
      <w:pPr>
        <w:pStyle w:val="style0"/>
        <w:rPr>
          <w:rFonts w:hint="eastAsia"/>
          <w:highlight w:val="none"/>
          <w:lang w:val="en-US" w:eastAsia="zh-CN"/>
        </w:rPr>
      </w:pPr>
    </w:p>
    <w:p w14:paraId="133A622C">
      <w:pPr>
        <w:pStyle w:val="style0"/>
        <w:rPr>
          <w:rFonts w:hint="eastAsia"/>
          <w:highlight w:val="none"/>
          <w:lang w:val="en-US" w:eastAsia="zh-CN"/>
        </w:rPr>
      </w:pPr>
    </w:p>
    <w:p w14:paraId="3523B8A9">
      <w:pPr>
        <w:pStyle w:val="style0"/>
        <w:rPr>
          <w:rFonts w:hint="eastAsia"/>
          <w:highlight w:val="none"/>
          <w:lang w:val="en-US" w:eastAsia="zh-CN"/>
        </w:rPr>
      </w:pPr>
    </w:p>
    <w:p w14:paraId="4A141F1B">
      <w:pPr>
        <w:pStyle w:val="style0"/>
        <w:rPr>
          <w:rFonts w:hint="eastAsia"/>
          <w:highlight w:val="none"/>
          <w:lang w:val="en-US" w:eastAsia="zh-CN"/>
        </w:rPr>
      </w:pPr>
    </w:p>
    <w:p w14:paraId="12AC7E03">
      <w:pPr>
        <w:pStyle w:val="style0"/>
        <w:rPr>
          <w:rFonts w:hint="eastAsia"/>
          <w:highlight w:val="none"/>
          <w:lang w:val="en-US" w:eastAsia="zh-CN"/>
        </w:rPr>
      </w:pPr>
    </w:p>
    <w:p w14:paraId="3F6A5BC0">
      <w:pPr>
        <w:pStyle w:val="style0"/>
        <w:rPr>
          <w:rFonts w:hint="eastAsia"/>
          <w:highlight w:val="none"/>
          <w:lang w:val="en-US" w:eastAsia="zh-CN"/>
        </w:rPr>
      </w:pPr>
    </w:p>
    <w:p w14:paraId="1578D517">
      <w:pPr>
        <w:pStyle w:val="style0"/>
        <w:rPr>
          <w:rFonts w:hint="eastAsia"/>
          <w:highlight w:val="none"/>
          <w:lang w:val="en-US" w:eastAsia="zh-CN"/>
        </w:rPr>
      </w:pPr>
    </w:p>
    <w:bookmarkStart w:id="0" w:name="_GoBack"/>
    <w:bookmarkEnd w:id="0"/>
    <w:p w14:paraId="153155CA">
      <w:pPr>
        <w:pStyle w:val="style0"/>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1"/>
    <w:family w:val="auto"/>
    <w:pitch w:val="default"/>
    <w:sig w:usb0="E0002EFF" w:usb1="C000785B" w:usb2="00000009" w:usb3="00000000" w:csb0="400001FF" w:csb1="FFFF0000"/>
  </w:font>
  <w:font w:name="宋体">
    <w:altName w:val="宋体"/>
    <w:panose1 w:val="02010600030001010101"/>
    <w:charset w:val="86"/>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200247B" w:usb2="00000009" w:usb3="00000000" w:csb0="200001FF" w:csb1="00000000"/>
  </w:font>
  <w:font w:name="仿宋">
    <w:altName w:val="仿宋"/>
    <w:panose1 w:val="02010609060001010101"/>
    <w:charset w:val="86"/>
    <w:family w:val="auto"/>
    <w:pitch w:val="default"/>
    <w:sig w:usb0="800002BF" w:usb1="38CF7CFA" w:usb2="00000016" w:usb3="00000000" w:csb0="00040001" w:csb1="00000000"/>
  </w:font>
  <w:font w:name="方正小标宋简体">
    <w:altName w:val="Arial Unicode MS"/>
    <w:panose1 w:val="02000000000000000000"/>
    <w:charset w:val="86"/>
    <w:family w:val="auto"/>
    <w:pitch w:val="default"/>
    <w:sig w:usb0="00000000" w:usb1="00000000" w:usb2="00000000" w:usb3="00000000" w:csb0="00040000" w:csb1="00000000"/>
  </w:font>
  <w:font w:name="Arial Unicode MS">
    <w:altName w:val="Arial Unicode MS"/>
    <w:panose1 w:val="020b06040200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E5F93415"/>
    <w:lvl w:ilvl="0">
      <w:start w:val="1"/>
      <w:numFmt w:val="decimal"/>
      <w:lvlText w:val="%1."/>
      <w:lvlJc w:val="left"/>
      <w:pPr>
        <w:tabs>
          <w:tab w:val="left" w:leader="none" w:pos="312"/>
        </w:tabs>
      </w:p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10"/>
  <w:doNotDisplayPageBoundaries/>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rPr>
    </w:rPrDefault>
    <w:pPrDefault>
      <w:pPr/>
    </w:pPrDefault>
  </w:docDefaults>
  <w:style w:type="paragraph" w:default="1" w:styleId="style0">
    <w:name w:val="Normal"/>
    <w:next w:val="style0"/>
    <w:qFormat/>
    <w:uiPriority w:val="0"/>
    <w:pPr>
      <w:widowControl w:val="false"/>
      <w:jc w:val="both"/>
    </w:pPr>
    <w:rPr>
      <w:rFonts w:ascii="Calibri" w:cs="Times New Roman" w:eastAsia="宋体" w:hAnsi="Calibri"/>
      <w:kern w:val="2"/>
      <w:sz w:val="21"/>
      <w:szCs w:val="24"/>
      <w:lang w:val="en-US" w:bidi="ar-SA" w:eastAsia="zh-CN"/>
    </w:rPr>
  </w:style>
  <w:style w:type="character" w:default="1" w:styleId="style65">
    <w:name w:val="Default Paragraph Font"/>
    <w:next w:val="style65"/>
    <w:qFormat/>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94">
    <w:name w:val="Normal (Web)"/>
    <w:basedOn w:val="style0"/>
    <w:next w:val="style94"/>
    <w:qFormat/>
    <w:uiPriority w:val="0"/>
    <w:pPr>
      <w:spacing w:before="100" w:beforeAutospacing="true" w:after="100" w:afterAutospacing="true"/>
      <w:jc w:val="left"/>
    </w:pPr>
    <w:rPr>
      <w:rFonts w:hint="default"/>
      <w:kern w:val="0"/>
      <w:sz w:val="24"/>
      <w:szCs w:val="22"/>
    </w:rPr>
  </w:style>
  <w:style w:type="table" w:styleId="style154">
    <w:name w:val="Table Grid"/>
    <w:basedOn w:val="style105"/>
    <w:next w:val="style154"/>
    <w:qFormat/>
    <w:uiPriority w:val="0"/>
    <w:pPr>
      <w:keepNext w:val="false"/>
      <w:keepLines w:val="false"/>
      <w:widowControl w:val="false"/>
      <w:suppressLineNumbers w:val="false"/>
      <w:spacing w:before="0" w:beforeAutospacing="false" w:after="0" w:afterAutospacing="false"/>
      <w:ind w:left="0" w:right="0"/>
      <w:jc w:val="both"/>
    </w:pPr>
    <w:rPr>
      <w:rFonts w:ascii="Times New Roman" w:cs="Times New Roman" w:hAnsi="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Words>1161</Words>
  <Pages>5</Pages>
  <Characters>1258</Characters>
  <Application>WPS Office</Application>
  <DocSecurity>0</DocSecurity>
  <Paragraphs>75</Paragraphs>
  <ScaleCrop>false</ScaleCrop>
  <LinksUpToDate>false</LinksUpToDate>
  <CharactersWithSpaces>1260</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2025-07-29T06:39:00Z</dcterms:created>
  <dc:creator>lyn</dc:creator>
  <lastModifiedBy>V2337A</lastModifiedBy>
  <dcterms:modified xsi:type="dcterms:W3CDTF">2026-03-04T14:43:05Z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74274b7fc1b842ccb05eb1c0888d9bd6_23</vt:lpwstr>
  </property>
  <property fmtid="{D5CDD505-2E9C-101B-9397-08002B2CF9AE}" pid="4" name="KSOTemplateDocerSaveRecord">
    <vt:lpwstr>eyJoZGlkIjoiYmMxODZjODkwYjYwYjQ4ZmVkMmU5ZDM1ZjgzMjE0ODUiLCJ1c2VySWQiOiI1Njk0MDY4NjIifQ==</vt:lpwstr>
  </property>
</Properties>
</file>