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14:paraId="141029AC">
      <w:pPr>
        <w:pStyle w:val="style94"/>
        <w:keepNext w:val="false"/>
        <w:keepLines w:val="false"/>
        <w:widowControl/>
        <w:numPr>
          <w:ilvl w:val="0"/>
          <w:numId w:val="0"/>
        </w:numPr>
        <w:suppressLineNumbers w:val="false"/>
        <w:spacing w:before="0" w:beforeAutospacing="false" w:after="0" w:afterAutospacing="false"/>
        <w:ind w:right="0" w:rightChars="0"/>
        <w:rPr>
          <w:rFonts w:ascii="仿宋" w:cs="仿宋" w:eastAsia="仿宋" w:hAnsi="仿宋" w:hint="eastAsia"/>
          <w:sz w:val="32"/>
          <w:szCs w:val="32"/>
          <w:highlight w:val="none"/>
          <w:lang w:val="en-US" w:eastAsia="zh-CN"/>
        </w:rPr>
      </w:pPr>
      <w:r>
        <w:rPr>
          <w:rFonts w:ascii="黑体" w:cs="黑体" w:eastAsia="黑体" w:hAnsi="黑体" w:hint="eastAsia"/>
          <w:sz w:val="32"/>
          <w:szCs w:val="32"/>
          <w:highlight w:val="none"/>
          <w:lang w:val="en-US" w:eastAsia="zh-CN"/>
        </w:rPr>
        <w:t>附件2：</w:t>
      </w:r>
      <w:r>
        <w:rPr>
          <w:rFonts w:ascii="仿宋" w:cs="仿宋" w:eastAsia="仿宋" w:hAnsi="仿宋" w:hint="eastAsia"/>
          <w:sz w:val="32"/>
          <w:szCs w:val="32"/>
          <w:highlight w:val="none"/>
          <w:lang w:val="en-US" w:eastAsia="zh-CN"/>
        </w:rPr>
        <w:t>国际货站进出港操作业务企业准入资格评审表</w:t>
      </w:r>
    </w:p>
    <w:tbl>
      <w:tblPr>
        <w:tblStyle w:val="style154"/>
        <w:tblW w:w="144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27"/>
        <w:gridCol w:w="2566"/>
        <w:gridCol w:w="10345"/>
      </w:tblGrid>
      <w:tr w14:paraId="3EC56F4B">
        <w:trPr>
          <w:trHeight w:val="597" w:hRule="atLeast"/>
          <w:jc w:val="center"/>
        </w:trPr>
        <w:tc>
          <w:tcPr>
            <w:tcW w:w="927" w:type="dxa"/>
            <w:tcBorders>
              <w:top w:val="single" w:sz="4" w:space="0" w:color="auto"/>
              <w:left w:val="single" w:sz="4" w:space="0" w:color="auto"/>
              <w:bottom w:val="single" w:sz="4" w:space="0" w:color="auto"/>
              <w:right w:val="single" w:sz="4" w:space="0" w:color="auto"/>
            </w:tcBorders>
            <w:vAlign w:val="center"/>
          </w:tcPr>
          <w:p w14:paraId="07DAE46E">
            <w:pPr>
              <w:pStyle w:val="style0"/>
              <w:keepNext w:val="false"/>
              <w:keepLines w:val="false"/>
              <w:numPr>
                <w:ilvl w:val="0"/>
                <w:numId w:val="0"/>
              </w:numPr>
              <w:suppressLineNumbers w:val="false"/>
              <w:spacing w:before="0" w:beforeAutospacing="false" w:after="0" w:afterAutospacing="false" w:lineRule="auto" w:line="240"/>
              <w:ind w:left="0" w:leftChars="0" w:right="0" w:firstLine="0" w:firstLineChars="0"/>
              <w:jc w:val="center"/>
              <w:rPr>
                <w:rFonts w:ascii="仿宋" w:cs="仿宋" w:eastAsia="仿宋" w:hAnsi="仿宋" w:hint="eastAsia"/>
                <w:b/>
                <w:bCs/>
                <w:color w:val="auto"/>
                <w:sz w:val="32"/>
                <w:szCs w:val="32"/>
                <w:highlight w:val="none"/>
                <w:u w:val="none"/>
                <w:vertAlign w:val="baseline"/>
                <w:lang w:eastAsia="zh-CN"/>
              </w:rPr>
            </w:pPr>
            <w:r>
              <w:rPr>
                <w:rFonts w:ascii="仿宋" w:cs="仿宋" w:eastAsia="仿宋" w:hAnsi="仿宋" w:hint="eastAsia"/>
                <w:b/>
                <w:bCs/>
                <w:color w:val="auto"/>
                <w:sz w:val="32"/>
                <w:szCs w:val="32"/>
                <w:highlight w:val="none"/>
                <w:u w:val="none"/>
                <w:vertAlign w:val="baseline"/>
                <w:lang w:eastAsia="zh-CN"/>
              </w:rPr>
              <w:t>序号</w:t>
            </w:r>
          </w:p>
        </w:tc>
        <w:tc>
          <w:tcPr>
            <w:tcW w:w="2566" w:type="dxa"/>
            <w:tcBorders>
              <w:top w:val="single" w:sz="4" w:space="0" w:color="auto"/>
              <w:left w:val="single" w:sz="4" w:space="0" w:color="auto"/>
              <w:bottom w:val="single" w:sz="4" w:space="0" w:color="auto"/>
              <w:right w:val="single" w:sz="4" w:space="0" w:color="auto"/>
            </w:tcBorders>
            <w:vAlign w:val="center"/>
          </w:tcPr>
          <w:p w14:paraId="2A5C0FF3">
            <w:pPr>
              <w:pStyle w:val="style0"/>
              <w:keepNext w:val="false"/>
              <w:keepLines w:val="false"/>
              <w:numPr>
                <w:ilvl w:val="0"/>
                <w:numId w:val="0"/>
              </w:numPr>
              <w:suppressLineNumbers w:val="false"/>
              <w:spacing w:before="0" w:beforeAutospacing="false" w:after="0" w:afterAutospacing="false" w:lineRule="auto" w:line="240"/>
              <w:ind w:left="0" w:leftChars="0" w:right="0" w:firstLine="0" w:firstLineChars="0"/>
              <w:jc w:val="center"/>
              <w:rPr>
                <w:rFonts w:ascii="仿宋" w:cs="仿宋" w:eastAsia="仿宋" w:hAnsi="仿宋" w:hint="eastAsia"/>
                <w:b/>
                <w:bCs/>
                <w:color w:val="auto"/>
                <w:sz w:val="32"/>
                <w:szCs w:val="32"/>
                <w:highlight w:val="none"/>
                <w:u w:val="none"/>
                <w:vertAlign w:val="baseline"/>
                <w:lang w:eastAsia="zh-CN"/>
              </w:rPr>
            </w:pPr>
            <w:r>
              <w:rPr>
                <w:rFonts w:ascii="仿宋" w:cs="仿宋" w:eastAsia="仿宋" w:hAnsi="仿宋" w:hint="eastAsia"/>
                <w:b/>
                <w:bCs/>
                <w:color w:val="auto"/>
                <w:sz w:val="32"/>
                <w:szCs w:val="32"/>
                <w:highlight w:val="none"/>
                <w:u w:val="none"/>
                <w:vertAlign w:val="baseline"/>
                <w:lang w:val="en-US" w:eastAsia="zh-CN"/>
              </w:rPr>
              <w:t>具体</w:t>
            </w:r>
            <w:r>
              <w:rPr>
                <w:rFonts w:ascii="仿宋" w:cs="仿宋" w:eastAsia="仿宋" w:hAnsi="仿宋" w:hint="eastAsia"/>
                <w:b/>
                <w:bCs/>
                <w:color w:val="auto"/>
                <w:sz w:val="32"/>
                <w:szCs w:val="32"/>
                <w:highlight w:val="none"/>
                <w:u w:val="none"/>
                <w:vertAlign w:val="baseline"/>
                <w:lang w:eastAsia="zh-CN"/>
              </w:rPr>
              <w:t>条件</w:t>
            </w:r>
          </w:p>
        </w:tc>
        <w:tc>
          <w:tcPr>
            <w:tcW w:w="10345" w:type="dxa"/>
            <w:tcBorders>
              <w:top w:val="single" w:sz="4" w:space="0" w:color="auto"/>
              <w:left w:val="single" w:sz="4" w:space="0" w:color="auto"/>
              <w:bottom w:val="single" w:sz="4" w:space="0" w:color="auto"/>
              <w:right w:val="single" w:sz="4" w:space="0" w:color="auto"/>
            </w:tcBorders>
            <w:vAlign w:val="center"/>
          </w:tcPr>
          <w:p w14:paraId="53946296">
            <w:pPr>
              <w:pStyle w:val="style0"/>
              <w:keepNext w:val="false"/>
              <w:keepLines w:val="false"/>
              <w:numPr>
                <w:ilvl w:val="0"/>
                <w:numId w:val="0"/>
              </w:numPr>
              <w:suppressLineNumbers w:val="false"/>
              <w:spacing w:before="0" w:beforeAutospacing="false" w:after="0" w:afterAutospacing="false" w:lineRule="auto" w:line="240"/>
              <w:ind w:left="0" w:leftChars="0" w:right="0" w:firstLine="0" w:firstLineChars="0"/>
              <w:jc w:val="center"/>
              <w:rPr>
                <w:rFonts w:ascii="仿宋" w:cs="仿宋" w:eastAsia="仿宋" w:hAnsi="仿宋" w:hint="eastAsia"/>
                <w:b/>
                <w:bCs/>
                <w:color w:val="auto"/>
                <w:sz w:val="32"/>
                <w:szCs w:val="32"/>
                <w:highlight w:val="none"/>
                <w:u w:val="none"/>
                <w:vertAlign w:val="baseline"/>
                <w:lang w:val="en-US" w:eastAsia="zh-CN"/>
              </w:rPr>
            </w:pPr>
            <w:r>
              <w:rPr>
                <w:rFonts w:ascii="仿宋" w:cs="仿宋" w:eastAsia="仿宋" w:hAnsi="仿宋" w:hint="eastAsia"/>
                <w:b/>
                <w:bCs/>
                <w:color w:val="auto"/>
                <w:sz w:val="32"/>
                <w:szCs w:val="32"/>
                <w:highlight w:val="none"/>
                <w:u w:val="none"/>
                <w:vertAlign w:val="baseline"/>
                <w:lang w:val="en-US" w:eastAsia="zh-CN"/>
              </w:rPr>
              <w:t>评审要素</w:t>
            </w:r>
          </w:p>
        </w:tc>
      </w:tr>
      <w:tr w14:paraId="0BD877E7">
        <w:tblPrEx/>
        <w:trPr>
          <w:trHeight w:val="1685" w:hRule="atLeast"/>
          <w:jc w:val="center"/>
        </w:trPr>
        <w:tc>
          <w:tcPr>
            <w:tcW w:w="927" w:type="dxa"/>
            <w:tcBorders>
              <w:top w:val="single" w:sz="4" w:space="0" w:color="auto"/>
              <w:left w:val="single" w:sz="4" w:space="0" w:color="auto"/>
              <w:bottom w:val="single" w:sz="4" w:space="0" w:color="auto"/>
              <w:right w:val="single" w:sz="4" w:space="0" w:color="auto"/>
            </w:tcBorders>
            <w:vAlign w:val="center"/>
          </w:tcPr>
          <w:p w14:paraId="73A1F4E9">
            <w:pPr>
              <w:pStyle w:val="style0"/>
              <w:keepNext w:val="false"/>
              <w:keepLines w:val="false"/>
              <w:numPr>
                <w:ilvl w:val="0"/>
                <w:numId w:val="0"/>
              </w:numPr>
              <w:suppressLineNumbers w:val="false"/>
              <w:spacing w:before="0" w:beforeAutospacing="false" w:after="0" w:afterAutospacing="false" w:lineRule="auto" w:line="240"/>
              <w:ind w:left="0" w:right="0"/>
              <w:jc w:val="center"/>
              <w:rPr>
                <w:rFonts w:ascii="仿宋" w:cs="仿宋" w:eastAsia="仿宋" w:hAnsi="仿宋" w:hint="eastAsia"/>
                <w:color w:val="auto"/>
                <w:sz w:val="28"/>
                <w:szCs w:val="28"/>
                <w:highlight w:val="none"/>
                <w:u w:val="none"/>
                <w:vertAlign w:val="baseline"/>
                <w:lang w:val="en-US" w:eastAsia="zh-CN"/>
              </w:rPr>
            </w:pPr>
            <w:r>
              <w:rPr>
                <w:rFonts w:ascii="仿宋" w:cs="仿宋" w:eastAsia="仿宋" w:hAnsi="仿宋" w:hint="eastAsia"/>
                <w:color w:val="auto"/>
                <w:sz w:val="28"/>
                <w:szCs w:val="28"/>
                <w:highlight w:val="none"/>
                <w:u w:val="none"/>
                <w:vertAlign w:val="baseline"/>
                <w:lang w:val="en-US" w:eastAsia="zh-CN"/>
              </w:rPr>
              <w:t>1</w:t>
            </w:r>
          </w:p>
        </w:tc>
        <w:tc>
          <w:tcPr>
            <w:tcW w:w="2566" w:type="dxa"/>
            <w:tcBorders>
              <w:top w:val="single" w:sz="4" w:space="0" w:color="auto"/>
              <w:left w:val="single" w:sz="4" w:space="0" w:color="auto"/>
              <w:bottom w:val="single" w:sz="4" w:space="0" w:color="auto"/>
              <w:right w:val="single" w:sz="4" w:space="0" w:color="auto"/>
            </w:tcBorders>
            <w:vAlign w:val="center"/>
          </w:tcPr>
          <w:p w14:paraId="62C0B554">
            <w:pPr>
              <w:pStyle w:val="style0"/>
              <w:keepNext w:val="false"/>
              <w:keepLines w:val="false"/>
              <w:pageBreakBefore w:val="false"/>
              <w:numPr>
                <w:ilvl w:val="0"/>
                <w:numId w:val="0"/>
              </w:numPr>
              <w:suppressLineNumbers w:val="false"/>
              <w:kinsoku/>
              <w:wordWrap/>
              <w:overflowPunct/>
              <w:topLinePunct w:val="false"/>
              <w:autoSpaceDE/>
              <w:autoSpaceDN/>
              <w:bidi w:val="false"/>
              <w:adjustRightInd/>
              <w:snapToGrid/>
              <w:spacing w:before="0" w:beforeAutospacing="false" w:after="0" w:afterAutospacing="false" w:lineRule="exact" w:line="570"/>
              <w:ind w:left="0" w:leftChars="0" w:right="0" w:firstLine="0" w:firstLineChars="0"/>
              <w:jc w:val="both"/>
              <w:textAlignment w:val="auto"/>
              <w:rPr>
                <w:rFonts w:ascii="仿宋" w:cs="仿宋" w:eastAsia="仿宋" w:hAnsi="仿宋" w:hint="eastAsia"/>
                <w:color w:val="auto"/>
                <w:sz w:val="28"/>
                <w:szCs w:val="28"/>
                <w:highlight w:val="none"/>
                <w:u w:val="none"/>
                <w:vertAlign w:val="baseline"/>
                <w:lang w:eastAsia="zh-CN"/>
              </w:rPr>
            </w:pPr>
            <w:r>
              <w:rPr>
                <w:rFonts w:ascii="仿宋" w:cs="仿宋" w:eastAsia="仿宋" w:hAnsi="仿宋" w:hint="eastAsia"/>
                <w:color w:val="auto"/>
                <w:sz w:val="28"/>
                <w:szCs w:val="28"/>
                <w:highlight w:val="none"/>
                <w:u w:val="none"/>
                <w:vertAlign w:val="baseline"/>
                <w:lang w:val="en-US" w:eastAsia="zh-CN"/>
              </w:rPr>
              <w:t>具有独立承担民事责任的能力并具有法人或者其他组织的证明文件</w:t>
            </w:r>
          </w:p>
        </w:tc>
        <w:tc>
          <w:tcPr>
            <w:tcW w:w="10345" w:type="dxa"/>
            <w:tcBorders>
              <w:top w:val="single" w:sz="4" w:space="0" w:color="auto"/>
              <w:left w:val="single" w:sz="4" w:space="0" w:color="auto"/>
              <w:bottom w:val="single" w:sz="4" w:space="0" w:color="auto"/>
              <w:right w:val="single" w:sz="4" w:space="0" w:color="auto"/>
            </w:tcBorders>
          </w:tcPr>
          <w:p w14:paraId="35F4D0C6">
            <w:pPr>
              <w:pStyle w:val="style0"/>
              <w:keepNext w:val="false"/>
              <w:keepLines w:val="false"/>
              <w:pageBreakBefore w:val="false"/>
              <w:widowControl w:val="false"/>
              <w:numPr>
                <w:ilvl w:val="0"/>
                <w:numId w:val="0"/>
              </w:numPr>
              <w:suppressLineNumbers w:val="false"/>
              <w:kinsoku/>
              <w:wordWrap/>
              <w:overflowPunct/>
              <w:topLinePunct w:val="false"/>
              <w:autoSpaceDE/>
              <w:autoSpaceDN/>
              <w:bidi w:val="false"/>
              <w:adjustRightInd/>
              <w:snapToGrid/>
              <w:spacing w:before="0" w:beforeAutospacing="false" w:after="0" w:afterAutospacing="false" w:lineRule="exact" w:line="570"/>
              <w:ind w:left="0" w:right="0"/>
              <w:textAlignment w:val="auto"/>
              <w:rPr>
                <w:rFonts w:ascii="仿宋" w:cs="仿宋" w:eastAsia="仿宋" w:hAnsi="仿宋" w:hint="eastAsia"/>
                <w:color w:val="auto"/>
                <w:sz w:val="28"/>
                <w:szCs w:val="28"/>
                <w:highlight w:val="none"/>
                <w:u w:val="none"/>
                <w:vertAlign w:val="baseline"/>
                <w:lang w:val="en-US" w:eastAsia="zh-CN"/>
              </w:rPr>
            </w:pPr>
            <w:r>
              <w:rPr>
                <w:rFonts w:ascii="仿宋" w:cs="仿宋" w:eastAsia="仿宋" w:hAnsi="仿宋" w:hint="eastAsia"/>
                <w:color w:val="auto"/>
                <w:sz w:val="28"/>
                <w:szCs w:val="28"/>
                <w:highlight w:val="none"/>
                <w:u w:val="none"/>
                <w:vertAlign w:val="baseline"/>
                <w:lang w:val="en-US" w:eastAsia="zh-CN"/>
              </w:rPr>
              <w:t>在中华人民共和国境内注册，具有独立承担民事责任的能力，并具有法人或者其他组织的证明文件。</w:t>
            </w:r>
          </w:p>
        </w:tc>
      </w:tr>
      <w:tr w14:paraId="34A91C86">
        <w:tblPrEx/>
        <w:trPr>
          <w:trHeight w:val="1670" w:hRule="atLeast"/>
          <w:jc w:val="center"/>
        </w:trPr>
        <w:tc>
          <w:tcPr>
            <w:tcW w:w="927" w:type="dxa"/>
            <w:tcBorders>
              <w:top w:val="single" w:sz="4" w:space="0" w:color="auto"/>
              <w:left w:val="single" w:sz="4" w:space="0" w:color="auto"/>
              <w:bottom w:val="single" w:sz="4" w:space="0" w:color="auto"/>
              <w:right w:val="single" w:sz="4" w:space="0" w:color="auto"/>
            </w:tcBorders>
            <w:vAlign w:val="center"/>
          </w:tcPr>
          <w:p w14:paraId="250AF3FF">
            <w:pPr>
              <w:pStyle w:val="style0"/>
              <w:keepNext w:val="false"/>
              <w:keepLines w:val="false"/>
              <w:numPr>
                <w:ilvl w:val="0"/>
                <w:numId w:val="0"/>
              </w:numPr>
              <w:suppressLineNumbers w:val="false"/>
              <w:spacing w:before="0" w:beforeAutospacing="false" w:after="0" w:afterAutospacing="false" w:lineRule="auto" w:line="240"/>
              <w:ind w:left="0" w:right="0"/>
              <w:jc w:val="center"/>
              <w:rPr>
                <w:rFonts w:ascii="仿宋" w:cs="仿宋" w:eastAsia="仿宋" w:hAnsi="仿宋" w:hint="eastAsia"/>
                <w:color w:val="auto"/>
                <w:sz w:val="28"/>
                <w:szCs w:val="28"/>
                <w:highlight w:val="none"/>
                <w:u w:val="none"/>
                <w:vertAlign w:val="baseline"/>
                <w:lang w:val="en-US" w:eastAsia="zh-CN"/>
              </w:rPr>
            </w:pPr>
            <w:r>
              <w:rPr>
                <w:rFonts w:ascii="仿宋" w:cs="仿宋" w:eastAsia="仿宋" w:hAnsi="仿宋" w:hint="eastAsia"/>
                <w:color w:val="auto"/>
                <w:sz w:val="28"/>
                <w:szCs w:val="28"/>
                <w:highlight w:val="none"/>
                <w:u w:val="none"/>
                <w:vertAlign w:val="baseline"/>
                <w:lang w:val="en-US" w:eastAsia="zh-CN"/>
              </w:rPr>
              <w:t>2</w:t>
            </w:r>
          </w:p>
        </w:tc>
        <w:tc>
          <w:tcPr>
            <w:tcW w:w="2566" w:type="dxa"/>
            <w:tcBorders>
              <w:top w:val="single" w:sz="4" w:space="0" w:color="auto"/>
              <w:left w:val="single" w:sz="4" w:space="0" w:color="auto"/>
              <w:bottom w:val="single" w:sz="4" w:space="0" w:color="auto"/>
              <w:right w:val="single" w:sz="4" w:space="0" w:color="auto"/>
            </w:tcBorders>
            <w:vAlign w:val="center"/>
          </w:tcPr>
          <w:p w14:paraId="46E7F789">
            <w:pPr>
              <w:pStyle w:val="style0"/>
              <w:keepNext w:val="false"/>
              <w:keepLines w:val="false"/>
              <w:pageBreakBefore w:val="false"/>
              <w:numPr>
                <w:ilvl w:val="0"/>
                <w:numId w:val="0"/>
              </w:numPr>
              <w:suppressLineNumbers w:val="false"/>
              <w:kinsoku/>
              <w:wordWrap/>
              <w:overflowPunct/>
              <w:topLinePunct w:val="false"/>
              <w:autoSpaceDE/>
              <w:autoSpaceDN/>
              <w:bidi w:val="false"/>
              <w:adjustRightInd/>
              <w:snapToGrid/>
              <w:spacing w:before="0" w:beforeAutospacing="false" w:after="0" w:afterAutospacing="false" w:lineRule="exact" w:line="570"/>
              <w:ind w:left="0" w:leftChars="0" w:right="0" w:firstLine="0" w:firstLineChars="0"/>
              <w:jc w:val="both"/>
              <w:textAlignment w:val="auto"/>
              <w:rPr>
                <w:rFonts w:ascii="仿宋" w:cs="仿宋" w:eastAsia="仿宋" w:hAnsi="仿宋" w:hint="eastAsia"/>
                <w:color w:val="auto"/>
                <w:sz w:val="28"/>
                <w:szCs w:val="28"/>
                <w:highlight w:val="none"/>
                <w:u w:val="none"/>
                <w:vertAlign w:val="baseline"/>
                <w:lang w:eastAsia="zh-CN"/>
              </w:rPr>
            </w:pPr>
            <w:r>
              <w:rPr>
                <w:rFonts w:ascii="仿宋" w:cs="仿宋" w:eastAsia="仿宋" w:hAnsi="仿宋" w:hint="eastAsia"/>
                <w:color w:val="auto"/>
                <w:sz w:val="28"/>
                <w:szCs w:val="28"/>
                <w:highlight w:val="none"/>
                <w:u w:val="none"/>
                <w:vertAlign w:val="baseline"/>
                <w:lang w:eastAsia="zh-CN"/>
              </w:rPr>
              <w:t>公司经营情况</w:t>
            </w:r>
          </w:p>
        </w:tc>
        <w:tc>
          <w:tcPr>
            <w:tcW w:w="10345" w:type="dxa"/>
            <w:tcBorders>
              <w:top w:val="single" w:sz="4" w:space="0" w:color="auto"/>
              <w:left w:val="single" w:sz="4" w:space="0" w:color="auto"/>
              <w:bottom w:val="single" w:sz="4" w:space="0" w:color="auto"/>
              <w:right w:val="single" w:sz="4" w:space="0" w:color="auto"/>
            </w:tcBorders>
          </w:tcPr>
          <w:p w14:paraId="7B5BBD19">
            <w:pPr>
              <w:pStyle w:val="style0"/>
              <w:keepNext w:val="false"/>
              <w:keepLines w:val="false"/>
              <w:pageBreakBefore w:val="false"/>
              <w:numPr>
                <w:ilvl w:val="0"/>
                <w:numId w:val="0"/>
              </w:numPr>
              <w:suppressLineNumbers w:val="false"/>
              <w:kinsoku/>
              <w:wordWrap/>
              <w:overflowPunct/>
              <w:topLinePunct w:val="false"/>
              <w:autoSpaceDE/>
              <w:autoSpaceDN/>
              <w:bidi w:val="false"/>
              <w:adjustRightInd/>
              <w:snapToGrid/>
              <w:spacing w:before="0" w:beforeAutospacing="false" w:after="0" w:afterAutospacing="false" w:lineRule="exact" w:line="570"/>
              <w:ind w:left="0" w:right="0"/>
              <w:textAlignment w:val="auto"/>
              <w:rPr>
                <w:rFonts w:ascii="仿宋" w:cs="仿宋" w:eastAsia="仿宋" w:hAnsi="仿宋" w:hint="eastAsia"/>
                <w:color w:val="auto"/>
                <w:sz w:val="28"/>
                <w:szCs w:val="28"/>
                <w:highlight w:val="none"/>
                <w:u w:val="none"/>
                <w:vertAlign w:val="baseline"/>
                <w:lang w:val="en-US" w:eastAsia="zh-CN"/>
              </w:rPr>
            </w:pPr>
            <w:r>
              <w:rPr>
                <w:rFonts w:ascii="仿宋" w:cs="仿宋" w:eastAsia="仿宋" w:hAnsi="仿宋" w:hint="eastAsia"/>
                <w:color w:val="auto"/>
                <w:sz w:val="28"/>
                <w:szCs w:val="28"/>
                <w:highlight w:val="none"/>
                <w:u w:val="none"/>
                <w:vertAlign w:val="baseline"/>
                <w:lang w:val="en-US" w:eastAsia="zh-CN"/>
              </w:rPr>
              <w:t>1.人员管理情况：提交本企业缴税的证明材料和职工社会保障金证明文件（或劳动合同），相应职工社会保障金证明文件或劳动合同总数应与其报备的人员数量一致；若为社会保障金证明文件，近六个月任意提供一个月。</w:t>
            </w:r>
          </w:p>
          <w:p w14:paraId="287910E0">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0" w:beforeAutospacing="false" w:after="0" w:afterAutospacing="false" w:lineRule="exact" w:line="570"/>
              <w:ind w:left="0" w:right="0" w:firstLine="0"/>
              <w:jc w:val="left"/>
              <w:textAlignment w:val="auto"/>
              <w:rPr>
                <w:rFonts w:ascii="仿宋" w:cs="仿宋" w:eastAsia="仿宋" w:hAnsi="仿宋" w:hint="eastAsia"/>
                <w:color w:val="auto"/>
                <w:sz w:val="28"/>
                <w:szCs w:val="28"/>
                <w:highlight w:val="none"/>
                <w:u w:val="none"/>
                <w:vertAlign w:val="baseline"/>
                <w:lang w:val="en-US" w:eastAsia="zh-CN"/>
              </w:rPr>
            </w:pPr>
            <w:r>
              <w:rPr>
                <w:rFonts w:ascii="仿宋" w:cs="仿宋" w:eastAsia="仿宋" w:hAnsi="仿宋" w:hint="eastAsia"/>
                <w:color w:val="auto"/>
                <w:sz w:val="28"/>
                <w:szCs w:val="28"/>
                <w:highlight w:val="none"/>
                <w:u w:val="none"/>
                <w:vertAlign w:val="baseline"/>
                <w:lang w:val="en-US" w:eastAsia="zh-CN"/>
              </w:rPr>
              <w:t>2.具有良好的银行资信和商业信誉，没有处于被责令停业、财产被接管、冻结、破产状态（须出具加盖公章的承诺函）。</w:t>
            </w:r>
            <w:r>
              <w:rPr>
                <w:rFonts w:ascii="仿宋" w:cs="仿宋" w:eastAsia="仿宋" w:hAnsi="仿宋" w:hint="eastAsia"/>
                <w:color w:val="auto"/>
                <w:sz w:val="28"/>
                <w:szCs w:val="28"/>
                <w:highlight w:val="none"/>
                <w:u w:val="none"/>
                <w:vertAlign w:val="baseline"/>
                <w:lang w:val="en-US" w:eastAsia="zh-CN"/>
              </w:rPr>
              <w:br/>
            </w:r>
            <w:r>
              <w:rPr>
                <w:rFonts w:ascii="仿宋" w:cs="仿宋" w:eastAsia="仿宋" w:hAnsi="仿宋" w:hint="eastAsia"/>
                <w:color w:val="auto"/>
                <w:sz w:val="28"/>
                <w:szCs w:val="28"/>
                <w:highlight w:val="none"/>
                <w:u w:val="none"/>
                <w:vertAlign w:val="baseline"/>
                <w:lang w:val="en-US" w:eastAsia="zh-CN"/>
              </w:rPr>
              <w:t>3.</w:t>
            </w:r>
            <w:r>
              <w:rPr>
                <w:rFonts w:ascii="仿宋" w:cs="仿宋" w:eastAsia="仿宋" w:hAnsi="仿宋" w:hint="eastAsia"/>
                <w:sz w:val="28"/>
                <w:szCs w:val="28"/>
                <w:highlight w:val="none"/>
              </w:rPr>
              <w:t>被"信用中国"列入失信被执行人（包括法定代表人）、重大税收违法失信主体的，不得参加本项目谈判，供应商应提供承诺函（查询结果将以开评标现场采购人在"信用中国"网站(www.creditchina.gov.cn）查询结果为准）;</w:t>
            </w:r>
          </w:p>
          <w:p w14:paraId="1D7B4E10">
            <w:pPr>
              <w:pStyle w:val="style0"/>
              <w:keepNext w:val="false"/>
              <w:keepLines w:val="false"/>
              <w:pageBreakBefore w:val="false"/>
              <w:numPr>
                <w:ilvl w:val="0"/>
                <w:numId w:val="0"/>
              </w:numPr>
              <w:suppressLineNumbers w:val="false"/>
              <w:kinsoku/>
              <w:wordWrap/>
              <w:overflowPunct/>
              <w:topLinePunct w:val="false"/>
              <w:autoSpaceDE/>
              <w:autoSpaceDN/>
              <w:bidi w:val="false"/>
              <w:adjustRightInd/>
              <w:snapToGrid/>
              <w:spacing w:before="0" w:beforeAutospacing="false" w:after="0" w:afterAutospacing="false" w:lineRule="exact" w:line="570"/>
              <w:ind w:left="0" w:right="0"/>
              <w:textAlignment w:val="auto"/>
              <w:rPr>
                <w:rFonts w:ascii="仿宋" w:cs="仿宋" w:eastAsia="仿宋" w:hAnsi="仿宋" w:hint="eastAsia"/>
                <w:color w:val="auto"/>
                <w:sz w:val="28"/>
                <w:szCs w:val="28"/>
                <w:highlight w:val="none"/>
                <w:u w:val="none"/>
                <w:vertAlign w:val="baseline"/>
                <w:lang w:val="en-US" w:eastAsia="zh-CN"/>
              </w:rPr>
            </w:pPr>
            <w:r>
              <w:rPr>
                <w:rFonts w:ascii="仿宋" w:cs="仿宋" w:eastAsia="仿宋" w:hAnsi="仿宋" w:hint="eastAsia"/>
                <w:color w:val="auto"/>
                <w:sz w:val="28"/>
                <w:szCs w:val="28"/>
                <w:highlight w:val="none"/>
                <w:u w:val="none"/>
                <w:vertAlign w:val="baseline"/>
                <w:lang w:val="en-US" w:eastAsia="zh-CN"/>
              </w:rPr>
              <w:t>4.近三年内在经营活动中没有违法记录（须出具加盖公章的声明函）。</w:t>
            </w:r>
          </w:p>
        </w:tc>
      </w:tr>
      <w:tr w14:paraId="7BC85557">
        <w:tblPrEx/>
        <w:trPr>
          <w:trHeight w:val="1670" w:hRule="atLeast"/>
          <w:jc w:val="center"/>
        </w:trPr>
        <w:tc>
          <w:tcPr>
            <w:tcW w:w="927" w:type="dxa"/>
            <w:tcBorders>
              <w:top w:val="single" w:sz="4" w:space="0" w:color="auto"/>
              <w:left w:val="single" w:sz="4" w:space="0" w:color="auto"/>
              <w:bottom w:val="single" w:sz="4" w:space="0" w:color="auto"/>
              <w:right w:val="single" w:sz="4" w:space="0" w:color="auto"/>
            </w:tcBorders>
            <w:vAlign w:val="center"/>
          </w:tcPr>
          <w:p w14:paraId="03C6CF95">
            <w:pPr>
              <w:pStyle w:val="style0"/>
              <w:keepNext w:val="false"/>
              <w:keepLines w:val="false"/>
              <w:numPr>
                <w:ilvl w:val="0"/>
                <w:numId w:val="0"/>
              </w:numPr>
              <w:suppressLineNumbers w:val="false"/>
              <w:spacing w:before="0" w:beforeAutospacing="false" w:after="0" w:afterAutospacing="false" w:lineRule="auto" w:line="240"/>
              <w:ind w:left="0" w:right="0"/>
              <w:jc w:val="center"/>
              <w:rPr>
                <w:rFonts w:ascii="仿宋" w:cs="仿宋" w:eastAsia="仿宋" w:hAnsi="仿宋" w:hint="default"/>
                <w:color w:val="auto"/>
                <w:sz w:val="28"/>
                <w:szCs w:val="28"/>
                <w:highlight w:val="none"/>
                <w:u w:val="none"/>
                <w:vertAlign w:val="baseline"/>
                <w:lang w:val="en-US" w:eastAsia="zh-CN"/>
              </w:rPr>
            </w:pPr>
            <w:r>
              <w:rPr>
                <w:rFonts w:ascii="仿宋" w:cs="仿宋" w:eastAsia="仿宋" w:hAnsi="仿宋" w:hint="eastAsia"/>
                <w:color w:val="auto"/>
                <w:sz w:val="28"/>
                <w:szCs w:val="28"/>
                <w:highlight w:val="none"/>
                <w:u w:val="none"/>
                <w:vertAlign w:val="baseline"/>
                <w:lang w:val="en-US" w:eastAsia="zh-CN"/>
              </w:rPr>
              <w:t>3</w:t>
            </w:r>
          </w:p>
        </w:tc>
        <w:tc>
          <w:tcPr>
            <w:tcW w:w="2566" w:type="dxa"/>
            <w:tcBorders>
              <w:top w:val="single" w:sz="4" w:space="0" w:color="auto"/>
              <w:left w:val="single" w:sz="4" w:space="0" w:color="auto"/>
              <w:bottom w:val="single" w:sz="4" w:space="0" w:color="auto"/>
              <w:right w:val="single" w:sz="4" w:space="0" w:color="auto"/>
            </w:tcBorders>
            <w:vAlign w:val="center"/>
          </w:tcPr>
          <w:p w14:paraId="397FA74D">
            <w:pPr>
              <w:pStyle w:val="style0"/>
              <w:keepNext w:val="false"/>
              <w:keepLines w:val="false"/>
              <w:pageBreakBefore w:val="false"/>
              <w:numPr>
                <w:ilvl w:val="0"/>
                <w:numId w:val="0"/>
              </w:numPr>
              <w:suppressLineNumbers w:val="false"/>
              <w:kinsoku/>
              <w:wordWrap/>
              <w:overflowPunct/>
              <w:topLinePunct w:val="false"/>
              <w:autoSpaceDE/>
              <w:autoSpaceDN/>
              <w:bidi w:val="false"/>
              <w:adjustRightInd/>
              <w:snapToGrid/>
              <w:spacing w:before="0" w:beforeAutospacing="false" w:after="0" w:afterAutospacing="false" w:lineRule="exact" w:line="570"/>
              <w:ind w:left="0" w:leftChars="0" w:right="0" w:firstLine="0" w:firstLineChars="0"/>
              <w:jc w:val="both"/>
              <w:textAlignment w:val="auto"/>
              <w:rPr>
                <w:rFonts w:ascii="仿宋" w:cs="仿宋" w:eastAsia="仿宋" w:hAnsi="仿宋" w:hint="eastAsia"/>
                <w:color w:val="auto"/>
                <w:sz w:val="28"/>
                <w:szCs w:val="28"/>
                <w:highlight w:val="none"/>
                <w:u w:val="none"/>
                <w:vertAlign w:val="baseline"/>
                <w:lang w:val="en-US" w:eastAsia="zh-CN"/>
              </w:rPr>
            </w:pPr>
            <w:r>
              <w:rPr>
                <w:rFonts w:ascii="仿宋" w:cs="仿宋" w:eastAsia="仿宋" w:hAnsi="仿宋" w:hint="eastAsia"/>
                <w:color w:val="auto"/>
                <w:sz w:val="28"/>
                <w:szCs w:val="28"/>
                <w:highlight w:val="none"/>
                <w:u w:val="none"/>
                <w:vertAlign w:val="baseline"/>
                <w:lang w:val="en-US" w:eastAsia="zh-CN"/>
              </w:rPr>
              <w:t>业务情况</w:t>
            </w:r>
          </w:p>
        </w:tc>
        <w:tc>
          <w:tcPr>
            <w:tcW w:w="10345" w:type="dxa"/>
            <w:tcBorders>
              <w:top w:val="single" w:sz="4" w:space="0" w:color="auto"/>
              <w:left w:val="single" w:sz="4" w:space="0" w:color="auto"/>
              <w:bottom w:val="single" w:sz="4" w:space="0" w:color="auto"/>
              <w:right w:val="single" w:sz="4" w:space="0" w:color="auto"/>
            </w:tcBorders>
          </w:tcPr>
          <w:p w14:paraId="336A253D">
            <w:pPr>
              <w:pStyle w:val="style0"/>
              <w:keepNext w:val="false"/>
              <w:keepLines w:val="false"/>
              <w:pageBreakBefore w:val="false"/>
              <w:widowControl w:val="false"/>
              <w:numPr>
                <w:ilvl w:val="0"/>
                <w:numId w:val="1"/>
              </w:numPr>
              <w:suppressLineNumbers w:val="false"/>
              <w:kinsoku/>
              <w:wordWrap/>
              <w:overflowPunct/>
              <w:topLinePunct w:val="false"/>
              <w:autoSpaceDE/>
              <w:autoSpaceDN/>
              <w:bidi w:val="false"/>
              <w:adjustRightInd/>
              <w:snapToGrid/>
              <w:spacing w:before="0" w:beforeAutospacing="false" w:after="0" w:afterAutospacing="false" w:lineRule="exact" w:line="570"/>
              <w:ind w:left="0" w:right="0"/>
              <w:textAlignment w:val="auto"/>
              <w:rPr>
                <w:rFonts w:ascii="仿宋" w:cs="仿宋" w:eastAsia="仿宋" w:hAnsi="仿宋" w:hint="default"/>
                <w:color w:val="auto"/>
                <w:sz w:val="28"/>
                <w:szCs w:val="28"/>
                <w:highlight w:val="none"/>
                <w:u w:val="none"/>
                <w:vertAlign w:val="baseline"/>
                <w:lang w:val="en-US" w:eastAsia="zh-CN"/>
              </w:rPr>
            </w:pPr>
            <w:r>
              <w:rPr>
                <w:rFonts w:ascii="仿宋" w:cs="仿宋" w:eastAsia="仿宋" w:hAnsi="仿宋" w:hint="eastAsia"/>
                <w:color w:val="auto"/>
                <w:sz w:val="28"/>
                <w:szCs w:val="28"/>
                <w:highlight w:val="none"/>
                <w:u w:val="none"/>
                <w:vertAlign w:val="baseline"/>
                <w:lang w:val="en-US" w:eastAsia="zh-CN"/>
              </w:rPr>
              <w:t>应提交本企业所接受的航空公司（承运人）业务操作授权，航空公司（承运人）的授权可以是总公司或其下一级机构等被航空公司（承运人）认可的</w:t>
            </w:r>
            <w:r>
              <w:rPr>
                <w:rFonts w:ascii="仿宋" w:cs="仿宋" w:eastAsia="仿宋" w:hAnsi="仿宋" w:hint="default"/>
                <w:color w:val="auto"/>
                <w:sz w:val="28"/>
                <w:szCs w:val="28"/>
                <w:highlight w:val="none"/>
                <w:u w:val="none"/>
                <w:vertAlign w:val="baseline"/>
                <w:lang w:eastAsia="zh-CN"/>
              </w:rPr>
              <w:t>，但航空公司（承运人）应与郑州机场</w:t>
            </w:r>
            <w:r>
              <w:rPr>
                <w:rFonts w:ascii="仿宋" w:cs="仿宋" w:eastAsia="仿宋" w:hAnsi="仿宋" w:hint="eastAsia"/>
                <w:color w:val="auto"/>
                <w:sz w:val="28"/>
                <w:szCs w:val="28"/>
                <w:highlight w:val="none"/>
                <w:u w:val="none"/>
                <w:vertAlign w:val="baseline"/>
                <w:lang w:val="en-US" w:eastAsia="zh-CN"/>
              </w:rPr>
              <w:t>签署全货机标准地面服务协议且协议在有效期内</w:t>
            </w:r>
            <w:r>
              <w:rPr>
                <w:rFonts w:ascii="仿宋" w:cs="仿宋" w:eastAsia="仿宋" w:hAnsi="仿宋" w:hint="default"/>
                <w:color w:val="auto"/>
                <w:sz w:val="28"/>
                <w:szCs w:val="28"/>
                <w:highlight w:val="none"/>
                <w:u w:val="none"/>
                <w:vertAlign w:val="baseline"/>
                <w:lang w:eastAsia="zh-CN"/>
              </w:rPr>
              <w:t>。</w:t>
            </w:r>
          </w:p>
          <w:p w14:paraId="7DF3AEBB">
            <w:pPr>
              <w:pStyle w:val="style0"/>
              <w:keepNext w:val="false"/>
              <w:keepLines w:val="false"/>
              <w:pageBreakBefore w:val="false"/>
              <w:widowControl w:val="false"/>
              <w:numPr>
                <w:ilvl w:val="0"/>
                <w:numId w:val="1"/>
              </w:numPr>
              <w:suppressLineNumbers w:val="false"/>
              <w:tabs>
                <w:tab w:val="clear" w:pos="312"/>
              </w:tabs>
              <w:kinsoku/>
              <w:wordWrap/>
              <w:overflowPunct/>
              <w:topLinePunct w:val="false"/>
              <w:autoSpaceDE/>
              <w:autoSpaceDN/>
              <w:bidi w:val="false"/>
              <w:adjustRightInd/>
              <w:snapToGrid/>
              <w:spacing w:before="0" w:beforeAutospacing="false" w:after="0" w:afterAutospacing="false" w:lineRule="exact" w:line="570"/>
              <w:ind w:left="0" w:right="0"/>
              <w:textAlignment w:val="auto"/>
              <w:rPr>
                <w:rFonts w:ascii="仿宋" w:cs="仿宋" w:eastAsia="仿宋" w:hAnsi="仿宋" w:hint="eastAsia"/>
                <w:color w:val="auto"/>
                <w:sz w:val="28"/>
                <w:szCs w:val="28"/>
                <w:highlight w:val="none"/>
                <w:u w:val="none"/>
                <w:vertAlign w:val="baseline"/>
                <w:lang w:val="en-US" w:eastAsia="zh-CN"/>
              </w:rPr>
            </w:pPr>
            <w:r>
              <w:rPr>
                <w:rFonts w:ascii="仿宋" w:cs="仿宋" w:eastAsia="仿宋" w:hAnsi="仿宋" w:hint="eastAsia"/>
                <w:color w:val="auto"/>
                <w:sz w:val="28"/>
                <w:szCs w:val="28"/>
                <w:highlight w:val="none"/>
                <w:u w:val="none"/>
                <w:vertAlign w:val="baseline"/>
                <w:lang w:val="en-US" w:eastAsia="zh-CN"/>
              </w:rPr>
              <w:t>授权航司协议有效性认定：与郑州机场签署全货机标准地面服务协议且协议在有效期内（详见郑州机场执飞及计划执飞的国际全货机航司统计表）；如不在统计表的航司，只要在本次准入报名截止日期之前完成协议签署的均可出具授权。如在协议有效期内，但截止2026年3月31日前未有航班计划的除外。</w:t>
            </w:r>
          </w:p>
          <w:p w14:paraId="606188D7">
            <w:pPr>
              <w:pStyle w:val="style0"/>
              <w:keepNext w:val="false"/>
              <w:keepLines w:val="false"/>
              <w:pageBreakBefore w:val="false"/>
              <w:widowControl w:val="false"/>
              <w:numPr>
                <w:ilvl w:val="0"/>
                <w:numId w:val="1"/>
              </w:numPr>
              <w:suppressLineNumbers w:val="false"/>
              <w:kinsoku/>
              <w:wordWrap/>
              <w:overflowPunct/>
              <w:topLinePunct w:val="false"/>
              <w:autoSpaceDE/>
              <w:autoSpaceDN/>
              <w:bidi w:val="false"/>
              <w:adjustRightInd/>
              <w:snapToGrid/>
              <w:spacing w:before="0" w:beforeAutospacing="false" w:after="0" w:afterAutospacing="false" w:lineRule="exact" w:line="570"/>
              <w:ind w:left="0" w:right="0"/>
              <w:textAlignment w:val="auto"/>
              <w:rPr>
                <w:rFonts w:ascii="仿宋" w:cs="仿宋" w:eastAsia="仿宋" w:hAnsi="仿宋" w:hint="eastAsia"/>
                <w:color w:val="auto"/>
                <w:sz w:val="28"/>
                <w:szCs w:val="28"/>
                <w:highlight w:val="none"/>
                <w:u w:val="none"/>
                <w:vertAlign w:val="baseline"/>
                <w:lang w:val="en-US" w:eastAsia="zh-CN"/>
              </w:rPr>
            </w:pPr>
            <w:r>
              <w:rPr>
                <w:rFonts w:ascii="仿宋" w:cs="仿宋" w:eastAsia="仿宋" w:hAnsi="仿宋" w:hint="eastAsia"/>
                <w:color w:val="auto"/>
                <w:sz w:val="28"/>
                <w:szCs w:val="28"/>
                <w:highlight w:val="none"/>
                <w:u w:val="none"/>
                <w:vertAlign w:val="baseline"/>
                <w:lang w:val="en-US" w:eastAsia="zh-CN"/>
              </w:rPr>
              <w:t>不接收以包机商（包机代理）等形式的授权。</w:t>
            </w:r>
          </w:p>
          <w:p w14:paraId="0B086273">
            <w:pPr>
              <w:pStyle w:val="style0"/>
              <w:keepNext w:val="false"/>
              <w:keepLines w:val="false"/>
              <w:pageBreakBefore w:val="false"/>
              <w:widowControl w:val="false"/>
              <w:numPr>
                <w:ilvl w:val="0"/>
                <w:numId w:val="1"/>
              </w:numPr>
              <w:suppressLineNumbers w:val="false"/>
              <w:tabs>
                <w:tab w:val="clear" w:pos="312"/>
              </w:tabs>
              <w:kinsoku/>
              <w:wordWrap/>
              <w:overflowPunct/>
              <w:topLinePunct w:val="false"/>
              <w:autoSpaceDE/>
              <w:autoSpaceDN/>
              <w:bidi w:val="false"/>
              <w:adjustRightInd/>
              <w:snapToGrid/>
              <w:spacing w:before="0" w:beforeAutospacing="false" w:after="0" w:afterAutospacing="false" w:lineRule="exact" w:line="570"/>
              <w:ind w:left="0" w:right="0"/>
              <w:textAlignment w:val="auto"/>
              <w:rPr>
                <w:rFonts w:ascii="仿宋" w:cs="仿宋" w:eastAsia="仿宋" w:hAnsi="仿宋" w:hint="eastAsia"/>
                <w:color w:val="auto"/>
                <w:sz w:val="28"/>
                <w:szCs w:val="28"/>
                <w:highlight w:val="none"/>
                <w:u w:val="none"/>
                <w:vertAlign w:val="baseline"/>
                <w:lang w:val="en-US" w:eastAsia="zh-CN"/>
              </w:rPr>
            </w:pPr>
            <w:r>
              <w:rPr>
                <w:rFonts w:ascii="仿宋" w:cs="仿宋" w:eastAsia="仿宋" w:hAnsi="仿宋" w:hint="eastAsia"/>
                <w:color w:val="auto"/>
                <w:sz w:val="28"/>
                <w:szCs w:val="28"/>
                <w:highlight w:val="none"/>
                <w:u w:val="none"/>
                <w:vertAlign w:val="baseline"/>
                <w:lang w:val="en-US" w:eastAsia="zh-CN"/>
              </w:rPr>
              <w:t>不接收仅开展国际客机腹舱业务的航司出具的授权。</w:t>
            </w:r>
          </w:p>
          <w:p w14:paraId="27EB3A98">
            <w:pPr>
              <w:pStyle w:val="style0"/>
              <w:keepNext w:val="false"/>
              <w:keepLines w:val="false"/>
              <w:pageBreakBefore w:val="false"/>
              <w:widowControl w:val="false"/>
              <w:numPr>
                <w:ilvl w:val="0"/>
                <w:numId w:val="0"/>
              </w:numPr>
              <w:suppressLineNumbers w:val="false"/>
              <w:tabs>
                <w:tab w:val="left" w:leader="none" w:pos="312"/>
              </w:tabs>
              <w:kinsoku/>
              <w:wordWrap/>
              <w:overflowPunct/>
              <w:topLinePunct w:val="false"/>
              <w:autoSpaceDE/>
              <w:autoSpaceDN/>
              <w:bidi w:val="false"/>
              <w:adjustRightInd/>
              <w:snapToGrid/>
              <w:spacing w:before="0" w:beforeAutospacing="false" w:after="0" w:afterAutospacing="false" w:lineRule="exact" w:line="570"/>
              <w:ind w:left="0" w:right="0"/>
              <w:textAlignment w:val="auto"/>
              <w:rPr>
                <w:rFonts w:ascii="仿宋" w:cs="仿宋" w:eastAsia="仿宋" w:hAnsi="仿宋" w:hint="eastAsia"/>
                <w:color w:val="auto"/>
                <w:sz w:val="28"/>
                <w:szCs w:val="28"/>
                <w:highlight w:val="none"/>
                <w:u w:val="none"/>
                <w:vertAlign w:val="baseline"/>
                <w:lang w:val="en-US" w:eastAsia="zh-CN"/>
              </w:rPr>
            </w:pPr>
            <w:r>
              <w:rPr>
                <w:rFonts w:ascii="仿宋" w:cs="仿宋" w:eastAsia="仿宋" w:hAnsi="仿宋" w:hint="eastAsia"/>
                <w:color w:val="auto"/>
                <w:sz w:val="28"/>
                <w:szCs w:val="28"/>
                <w:highlight w:val="none"/>
                <w:u w:val="none"/>
                <w:vertAlign w:val="baseline"/>
                <w:lang w:val="en-US" w:eastAsia="zh-CN"/>
              </w:rPr>
              <w:t>备注：授权书详见模板（附件4）。</w:t>
            </w:r>
          </w:p>
        </w:tc>
      </w:tr>
      <w:bookmarkStart w:id="0" w:name="_GoBack"/>
      <w:bookmarkEnd w:id="0"/>
    </w:tbl>
    <w:p w14:paraId="36AE86ED">
      <w:pPr>
        <w:pStyle w:val="style0"/>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4020304"/>
    <w:charset w:val="01"/>
    <w:family w:val="auto"/>
    <w:pitch w:val="default"/>
    <w:sig w:usb0="E0002EFF" w:usb1="C000785B" w:usb2="00000009" w:usb3="00000000" w:csb0="400001FF" w:csb1="FFFF0000"/>
  </w:font>
  <w:font w:name="宋体">
    <w:altName w:val="宋体"/>
    <w:panose1 w:val="02010600030001010101"/>
    <w:charset w:val="86"/>
    <w:family w:val="auto"/>
    <w:pitch w:val="default"/>
    <w:sig w:usb0="00000203" w:usb1="288F0000" w:usb2="00000006" w:usb3="00000000" w:csb0="00040001" w:csb1="00000000"/>
  </w:font>
  <w:font w:name="Wingdings">
    <w:altName w:val="Wingdings"/>
    <w:panose1 w:val="05000000000000000000"/>
    <w:charset w:val="02"/>
    <w:family w:val="auto"/>
    <w:pitch w:val="default"/>
    <w:sig w:usb0="00000000" w:usb1="00000000" w:usb2="00000000" w:usb3="00000000" w:csb0="80000000" w:csb1="00000000"/>
  </w:font>
  <w:font w:name="Arial">
    <w:altName w:val="Arial"/>
    <w:panose1 w:val="020b0604020002020204"/>
    <w:charset w:val="01"/>
    <w:family w:val="swiss"/>
    <w:pitch w:val="default"/>
    <w:sig w:usb0="E0002EFF" w:usb1="C000785B" w:usb2="00000009" w:usb3="00000000" w:csb0="400001FF" w:csb1="FFFF0000"/>
  </w:font>
  <w:font w:name="黑体">
    <w:altName w:val="黑体"/>
    <w:panose1 w:val="02010609060001010101"/>
    <w:charset w:val="86"/>
    <w:family w:val="auto"/>
    <w:pitch w:val="default"/>
    <w:sig w:usb0="800002BF" w:usb1="38CF7CFA" w:usb2="00000016" w:usb3="00000000" w:csb0="00040001" w:csb1="00000000"/>
  </w:font>
  <w:font w:name="Courier New">
    <w:altName w:val="Courier New"/>
    <w:panose1 w:val="02070309020002020404"/>
    <w:charset w:val="01"/>
    <w:family w:val="modern"/>
    <w:pitch w:val="default"/>
    <w:sig w:usb0="E0002EFF" w:usb1="C0007843" w:usb2="00000009" w:usb3="00000000" w:csb0="400001FF" w:csb1="FFFF0000"/>
  </w:font>
  <w:font w:name="Symbol">
    <w:altName w:val="Symbol"/>
    <w:panose1 w:val="05050102010007020507"/>
    <w:charset w:val="02"/>
    <w:family w:val="roman"/>
    <w:pitch w:val="default"/>
    <w:sig w:usb0="00000000" w:usb1="00000000" w:usb2="00000000" w:usb3="00000000" w:csb0="80000000" w:csb1="00000000"/>
  </w:font>
  <w:font w:name="Calibri">
    <w:altName w:val="Calibri"/>
    <w:panose1 w:val="020f0502020002030204"/>
    <w:charset w:val="00"/>
    <w:family w:val="swiss"/>
    <w:pitch w:val="default"/>
    <w:sig w:usb0="E4002EFF" w:usb1="C200247B" w:usb2="00000009" w:usb3="00000000" w:csb0="200001FF" w:csb1="00000000"/>
  </w:font>
  <w:font w:name="仿宋">
    <w:altName w:val="仿宋"/>
    <w:panose1 w:val="020106090600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singleLevel"/>
    <w:tmpl w:val="FA2DA55E"/>
    <w:lvl w:ilvl="0">
      <w:start w:val="1"/>
      <w:numFmt w:val="decimal"/>
      <w:lvlText w:val="%1."/>
      <w:lvlJc w:val="left"/>
      <w:pPr>
        <w:tabs>
          <w:tab w:val="left" w:leader="none" w:pos="312"/>
        </w:tabs>
      </w:pPr>
    </w:lvl>
  </w:abstractNum>
  <w:num w:numId="1">
    <w:abstractNumId w:val="0"/>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10"/>
  <w:doNotDisplayPageBoundaries/>
  <w:embedSystemFonts/>
  <w:bordersDoNotSurroundHeader/>
  <w:bordersDoNotSurroundFooter/>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宋体" w:eastAsia="宋体" w:hAnsi="Calibri"/>
      </w:rPr>
    </w:rPrDefault>
    <w:pPrDefault>
      <w:pPr/>
    </w:pPrDefault>
  </w:docDefaults>
  <w:style w:type="paragraph" w:default="1" w:styleId="style0">
    <w:name w:val="Normal"/>
    <w:next w:val="style0"/>
    <w:qFormat/>
    <w:uiPriority w:val="0"/>
    <w:pPr>
      <w:widowControl w:val="false"/>
      <w:jc w:val="both"/>
    </w:pPr>
    <w:rPr>
      <w:rFonts w:ascii="Calibri" w:cs="Times New Roman" w:eastAsia="宋体" w:hAnsi="Calibri"/>
      <w:kern w:val="2"/>
      <w:sz w:val="21"/>
      <w:szCs w:val="24"/>
      <w:lang w:val="en-US" w:bidi="ar-SA" w:eastAsia="zh-CN"/>
    </w:rPr>
  </w:style>
  <w:style w:type="character" w:default="1" w:styleId="style65">
    <w:name w:val="Default Paragraph Font"/>
    <w:next w:val="style65"/>
    <w:uiPriority w:val="0"/>
  </w:style>
  <w:style w:type="table" w:default="1" w:styleId="style105">
    <w:name w:val="Normal Table"/>
    <w:next w:val="style105"/>
    <w:qFormat/>
    <w:uiPriority w:val="0"/>
    <w:pPr/>
    <w:rPr/>
    <w:tblPr>
      <w:tblCellMar>
        <w:top w:w="0" w:type="dxa"/>
        <w:left w:w="108" w:type="dxa"/>
        <w:bottom w:w="0" w:type="dxa"/>
        <w:right w:w="108" w:type="dxa"/>
      </w:tblCellMar>
    </w:tblPr>
    <w:tcPr>
      <w:tcBorders/>
    </w:tcPr>
  </w:style>
  <w:style w:type="paragraph" w:styleId="style94">
    <w:name w:val="Normal (Web)"/>
    <w:basedOn w:val="style0"/>
    <w:next w:val="style94"/>
    <w:qFormat/>
    <w:uiPriority w:val="0"/>
    <w:pPr>
      <w:spacing w:before="100" w:beforeAutospacing="true" w:after="100" w:afterAutospacing="true"/>
      <w:jc w:val="left"/>
    </w:pPr>
    <w:rPr>
      <w:rFonts w:hint="default"/>
      <w:kern w:val="0"/>
      <w:sz w:val="24"/>
      <w:szCs w:val="22"/>
    </w:rPr>
  </w:style>
  <w:style w:type="table" w:styleId="style154">
    <w:name w:val="Table Grid"/>
    <w:basedOn w:val="style105"/>
    <w:next w:val="style154"/>
    <w:qFormat/>
    <w:uiPriority w:val="0"/>
    <w:pPr>
      <w:keepNext w:val="false"/>
      <w:keepLines w:val="false"/>
      <w:widowControl w:val="false"/>
      <w:suppressLineNumbers w:val="false"/>
      <w:spacing w:before="0" w:beforeAutospacing="false" w:after="0" w:afterAutospacing="false"/>
      <w:ind w:left="0" w:right="0"/>
      <w:jc w:val="both"/>
    </w:pPr>
    <w:rPr>
      <w:rFonts w:ascii="Times New Roman" w:cs="Times New Roman" w:hAnsi="Times New Roman" w:hint="default"/>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tcBorders/>
    </w:tc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Words>688</Words>
  <Pages>2</Pages>
  <Characters>718</Characters>
  <Application>WPS Office</Application>
  <DocSecurity>0</DocSecurity>
  <Paragraphs>24</Paragraphs>
  <ScaleCrop>false</ScaleCrop>
  <LinksUpToDate>false</LinksUpToDate>
  <CharactersWithSpaces>718</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2025-07-29T06:39:00Z</dcterms:created>
  <dc:creator>lyn</dc:creator>
  <lastModifiedBy>V2337A</lastModifiedBy>
  <dcterms:modified xsi:type="dcterms:W3CDTF">2026-03-04T14:42:42Z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c132643312174157a79c93851e06c3fd_23</vt:lpwstr>
  </property>
  <property fmtid="{D5CDD505-2E9C-101B-9397-08002B2CF9AE}" pid="4" name="KSOTemplateDocerSaveRecord">
    <vt:lpwstr>eyJoZGlkIjoiYmMxODZjODkwYjYwYjQ4ZmVkMmU5ZDM1ZjgzMjE0ODUiLCJ1c2VySWQiOiI1Njk0MDY4NjIifQ==</vt:lpwstr>
  </property>
</Properties>
</file>